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160"/>
        <w:jc w:val="center"/>
      </w:pPr>
      <w:r>
        <w:rPr>
          <w:rFonts w:ascii="Aptos" w:hAnsi="Aptos"/>
          <w:b/>
          <w:bCs/>
          <w:sz w:val="36"/>
          <w:szCs w:val="36"/>
        </w:rPr>
        <w:t xml:space="preserve">MATRICA ASPEKATA I RIZIKA OKOLIŠA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Tvrtka: </w:t>
      </w:r>
      <w:r>
        <w:rPr>
          <w:rFonts w:ascii="Aptos" w:hAnsi="Aptos"/>
          <w:sz w:val="22"/>
          <w:szCs w:val="22"/>
        </w:rPr>
        <w:t xml:space="preserve">TEHMA d.o.o., Zadar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Oznaka dokumenta: </w:t>
      </w:r>
      <w:r>
        <w:rPr>
          <w:rFonts w:ascii="Aptos" w:hAnsi="Aptos"/>
          <w:sz w:val="22"/>
          <w:szCs w:val="22"/>
        </w:rPr>
        <w:t xml:space="preserve">AO-IMS-01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Verzija: </w:t>
      </w:r>
      <w:r>
        <w:rPr>
          <w:rFonts w:ascii="Aptos" w:hAnsi="Aptos"/>
          <w:sz w:val="22"/>
          <w:szCs w:val="22"/>
        </w:rPr>
        <w:t xml:space="preserve">v1.1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Datum: </w:t>
      </w:r>
      <w:r>
        <w:rPr>
          <w:rFonts w:ascii="Aptos" w:hAnsi="Aptos"/>
          <w:sz w:val="22"/>
          <w:szCs w:val="22"/>
        </w:rPr>
        <w:t xml:space="preserve">25.09.2026.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Odobrio: </w:t>
      </w:r>
      <w:r>
        <w:rPr>
          <w:rFonts w:ascii="Aptos" w:hAnsi="Aptos"/>
          <w:sz w:val="22"/>
          <w:szCs w:val="22"/>
        </w:rPr>
        <w:t xml:space="preserve">Direktor</w:t>
      </w:r>
    </w:p>
    <w:p>
      <w:pPr>
        <w:pStyle w:val="Heading1"/>
        <w:numPr>
          <w:ilvl w:val="0"/>
          <w:numId w:val="0"/>
        </w:numPr>
      </w:pPr>
      <w:r>
        <w:t xml:space="preserve">UPRAVLJANJE DOKUMENTOM</w:t>
      </w:r>
    </w:p>
    <w:p>
      <w:pPr>
        <w:numPr>
          <w:ilvl w:val="0"/>
          <w:numId w:val="1"/>
        </w:numPr>
        <w:spacing w:after="60"/>
        <w:jc w:val="both"/>
      </w:pPr>
      <w:r>
        <w:rPr>
          <w:rFonts w:ascii="Aptos" w:hAnsi="Aptos"/>
          <w:b/>
          <w:bCs/>
          <w:sz w:val="22"/>
          <w:szCs w:val="22"/>
        </w:rPr>
        <w:t xml:space="preserve">Vlasnik dokumenta: </w:t>
      </w:r>
      <w:r>
        <w:rPr>
          <w:rFonts w:ascii="Aptos" w:hAnsi="Aptos"/>
          <w:sz w:val="22"/>
          <w:szCs w:val="22"/>
        </w:rPr>
        <w:t xml:space="preserve">HSE referent (vođenje matrice) i Predstavnik uprave (MR)</w:t>
      </w:r>
    </w:p>
    <w:p>
      <w:pPr>
        <w:numPr>
          <w:ilvl w:val="0"/>
          <w:numId w:val="1"/>
        </w:numPr>
        <w:spacing w:after="60"/>
        <w:jc w:val="both"/>
      </w:pPr>
      <w:r>
        <w:rPr>
          <w:rFonts w:ascii="Aptos" w:hAnsi="Aptos"/>
          <w:b/>
          <w:bCs/>
          <w:sz w:val="22"/>
          <w:szCs w:val="22"/>
        </w:rPr>
        <w:t xml:space="preserve">Odobrio: </w:t>
      </w:r>
      <w:r>
        <w:rPr>
          <w:rFonts w:ascii="Aptos" w:hAnsi="Aptos"/>
          <w:sz w:val="22"/>
          <w:szCs w:val="22"/>
        </w:rPr>
        <w:t xml:space="preserve">Direktor</w:t>
      </w:r>
    </w:p>
    <w:p>
      <w:pPr>
        <w:numPr>
          <w:ilvl w:val="0"/>
          <w:numId w:val="1"/>
        </w:numPr>
        <w:spacing w:after="60"/>
        <w:jc w:val="both"/>
      </w:pPr>
      <w:r>
        <w:rPr>
          <w:rFonts w:ascii="Aptos" w:hAnsi="Aptos"/>
          <w:b/>
          <w:bCs/>
          <w:sz w:val="22"/>
          <w:szCs w:val="22"/>
        </w:rPr>
        <w:t xml:space="preserve">Status: </w:t>
      </w:r>
      <w:r>
        <w:rPr>
          <w:rFonts w:ascii="Aptos" w:hAnsi="Aptos"/>
          <w:sz w:val="22"/>
          <w:szCs w:val="22"/>
        </w:rPr>
        <w:t xml:space="preserve">Kontrolirani dokument, jedina mjerodavna matrica okolišnih aspekata TEHMA d.o.o. (elektronička verzija je mjerodavna)</w:t>
      </w:r>
    </w:p>
    <w:p>
      <w:pPr>
        <w:numPr>
          <w:ilvl w:val="0"/>
          <w:numId w:val="1"/>
        </w:numPr>
        <w:spacing w:after="60"/>
        <w:jc w:val="both"/>
      </w:pPr>
      <w:r>
        <w:rPr>
          <w:rFonts w:ascii="Aptos" w:hAnsi="Aptos"/>
          <w:b/>
          <w:bCs/>
          <w:sz w:val="22"/>
          <w:szCs w:val="22"/>
        </w:rPr>
        <w:t xml:space="preserve">Metodologija: </w:t>
      </w:r>
      <w:r>
        <w:rPr>
          <w:rFonts w:ascii="Aptos" w:hAnsi="Aptos"/>
          <w:sz w:val="22"/>
          <w:szCs w:val="22"/>
        </w:rPr>
        <w:t xml:space="preserve">PROC-IMS-07 Identifikacija aspekata okoliša i usklađenost s propisima, v1.1</w:t>
      </w:r>
    </w:p>
    <w:p>
      <w:pPr>
        <w:numPr>
          <w:ilvl w:val="0"/>
          <w:numId w:val="1"/>
        </w:numPr>
        <w:spacing w:after="60"/>
        <w:jc w:val="both"/>
      </w:pPr>
      <w:r>
        <w:rPr>
          <w:rFonts w:ascii="Aptos" w:hAnsi="Aptos"/>
          <w:b/>
          <w:bCs/>
          <w:sz w:val="22"/>
          <w:szCs w:val="22"/>
        </w:rPr>
        <w:t xml:space="preserve">Datum zadnjeg preispitivanja: </w:t>
      </w:r>
      <w:r>
        <w:rPr>
          <w:rFonts w:ascii="Aptos" w:hAnsi="Aptos"/>
          <w:sz w:val="22"/>
          <w:szCs w:val="22"/>
        </w:rPr>
        <w:t xml:space="preserve">25.09.2026.</w:t>
      </w:r>
    </w:p>
    <w:p>
      <w:pPr>
        <w:numPr>
          <w:ilvl w:val="0"/>
          <w:numId w:val="1"/>
        </w:numPr>
        <w:spacing w:after="60"/>
        <w:jc w:val="both"/>
      </w:pPr>
      <w:r>
        <w:rPr>
          <w:rFonts w:ascii="Aptos" w:hAnsi="Aptos"/>
          <w:b/>
          <w:bCs/>
          <w:sz w:val="22"/>
          <w:szCs w:val="22"/>
        </w:rPr>
        <w:t xml:space="preserve">Sljedeće preispitivanje: </w:t>
      </w:r>
      <w:r>
        <w:rPr>
          <w:rFonts w:ascii="Aptos" w:hAnsi="Aptos"/>
          <w:sz w:val="22"/>
          <w:szCs w:val="22"/>
        </w:rPr>
        <w:t xml:space="preserve">pri promjeni djelatnosti, otvaranju novog gradilišta ili izmjeni propisa, a najmanje jednom godišnje u sklopu upravine ocjene</w:t>
      </w:r>
    </w:p>
    <w:p>
      <w:pPr>
        <w:keepNext/>
        <w:spacing w:after="60" w:before="120"/>
        <w:jc w:val="both"/>
      </w:pPr>
      <w:r>
        <w:rPr>
          <w:rFonts w:ascii="Aptos" w:hAnsi="Aptos"/>
          <w:b/>
          <w:bCs/>
          <w:sz w:val="22"/>
          <w:szCs w:val="22"/>
        </w:rPr>
        <w:t xml:space="preserve">Povijest verzija</w:t>
      </w:r>
    </w:p>
    <w:tbl>
      <w:tblPr>
        <w:tblStyle w:val="GridTable3-Accent2"/>
        <w:tblW w:w="9600" w:type="dxa"/>
        <w:tblLayout w:type="fixed"/>
        <w:tblLook w:firstColumn="0" w:firstRow="1" w:lastColumn="0" w:lastRow="0" w:noHBand="0" w:noVBand="1" w:val="04A0"/>
      </w:tblPr>
      <w:tblGrid>
        <w:gridCol w:w="900"/>
        <w:gridCol w:w="1200"/>
        <w:gridCol w:w="6300"/>
        <w:gridCol w:w="1200"/>
      </w:tblGrid>
      <w:tr>
        <w:trPr>
          <w:cantSplit/>
          <w:tblHeader/>
        </w:trPr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Verzija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Datum</w:t>
            </w:r>
          </w:p>
        </w:tc>
        <w:tc>
          <w:tcPr>
            <w:tcW w:type="dxa" w:w="63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Opis promjene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Odobrio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v1.0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10.11.2025.</w:t>
            </w:r>
          </w:p>
        </w:tc>
        <w:tc>
          <w:tcPr>
            <w:tcW w:type="dxa" w:w="6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Inicijalno izdanje matrice aspekata i rizika IMS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Direktor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v1.1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25.09.2026.</w:t>
            </w:r>
          </w:p>
        </w:tc>
        <w:tc>
          <w:tcPr>
            <w:tcW w:type="dxa" w:w="6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U matricu objedinjen sadržaj lista REG-AO iz TEHMA-IMS-Registra, inicijalno popunjenog obrasca FRM-IMS-09 i okolišnog dijela IMS-RISK-ENV; te evidencije označene su kao zastarjele (zapažanje DNV RENRAJ-0004).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Metodologija ujednačena s PROC-IMS-07 v1.1: Z = V x P, prag značajnosti 10, uvjeti nastanka (R, I, IS), obrazloženje za svaki značajan aspekt.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Dodani aspekti podmorskih radova, završnih radova, uređenja okoliša, rada u naselju (DV Pčelica) i nepovoljnih vremenskih uvjeta; veza sa stavkama registra rizika RIZ-IMS-01 v1.1.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Datum u zaglavlju više se ne ispisuje automatski (ranije polje s tekućim datumom).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Direktor</w:t>
            </w:r>
          </w:p>
        </w:tc>
      </w:tr>
    </w:tbl>
    <w:p>
      <w:pPr>
        <w:pStyle w:val="Heading1"/>
      </w:pPr>
      <w:r>
        <w:t xml:space="preserve">SVRHA, OPSEG I PRIMJENA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Matrica evidentira okolišne aspekte svih aktivnosti TEHMA d.o.o. (niskogradnja, visokogradnja, završni radovi, podmorski radovi, uređenje okoliša, transport, skladištenje i uredske aktivnosti), procjenjuje njihove utjecaje na okoliš i određuje značajne aspekte, u skladu s točkom 6.1.2 norme ISO 14001:2015. Primjenjuje se na sva gradilišta, skladišta i ured te na aktivnosti podizvođača.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Ocjena se provodi prema metodologiji opisanoj u PROC-IMS-07:</w:t>
      </w:r>
    </w:p>
    <w:p>
      <w:pPr>
        <w:numPr>
          <w:ilvl w:val="0"/>
          <w:numId w:val="1"/>
        </w:numPr>
        <w:spacing w:after="60"/>
        <w:jc w:val="both"/>
      </w:pPr>
      <w:r>
        <w:rPr>
          <w:rFonts w:ascii="Aptos" w:hAnsi="Aptos"/>
          <w:b/>
          <w:bCs/>
          <w:sz w:val="22"/>
          <w:szCs w:val="22"/>
        </w:rPr>
        <w:t xml:space="preserve">Značajnost: Z = V x P</w:t>
      </w:r>
      <w:r>
        <w:rPr>
          <w:rFonts w:ascii="Aptos" w:hAnsi="Aptos"/>
          <w:sz w:val="22"/>
          <w:szCs w:val="22"/>
        </w:rPr>
        <w:t xml:space="preserve"> (V - vjerojatnost ili učestalost nastanka, P - ozbiljnost utjecaja na okoliš; svaki od 1 do 5; Z od 1 do 25)</w:t>
      </w:r>
    </w:p>
    <w:p>
      <w:pPr>
        <w:numPr>
          <w:ilvl w:val="0"/>
          <w:numId w:val="1"/>
        </w:numPr>
        <w:spacing w:after="60"/>
        <w:jc w:val="both"/>
      </w:pPr>
      <w:r>
        <w:rPr>
          <w:rFonts w:ascii="Aptos" w:hAnsi="Aptos"/>
          <w:b/>
          <w:bCs/>
          <w:sz w:val="22"/>
          <w:szCs w:val="22"/>
        </w:rPr>
        <w:t xml:space="preserve">Aspekt je značajan (DA) </w:t>
      </w:r>
      <w:r>
        <w:rPr>
          <w:rFonts w:ascii="Aptos" w:hAnsi="Aptos"/>
          <w:sz w:val="22"/>
          <w:szCs w:val="22"/>
        </w:rPr>
        <w:t xml:space="preserve">ako je Z 10 ili više, ili ako je P = 5 bez obzira na vjerojatnost, ili ako zakonski zahtjev zaštite okoliša povezan s aspektom nije u potpunosti ispunjen (ocjena 1 ili 2 u PUZ-IMS-01), ili ako je u proteklih 12 mjeseci zaprimljena opravdana pritužba zainteresirane strane.</w:t>
      </w:r>
    </w:p>
    <w:p>
      <w:pPr>
        <w:numPr>
          <w:ilvl w:val="0"/>
          <w:numId w:val="1"/>
        </w:numPr>
        <w:spacing w:after="60"/>
        <w:jc w:val="both"/>
      </w:pPr>
      <w:r>
        <w:rPr>
          <w:rFonts w:ascii="Aptos" w:hAnsi="Aptos"/>
          <w:b/>
          <w:bCs/>
          <w:sz w:val="22"/>
          <w:szCs w:val="22"/>
        </w:rPr>
        <w:t xml:space="preserve">Uvjeti nastanka: </w:t>
      </w:r>
      <w:r>
        <w:rPr>
          <w:rFonts w:ascii="Aptos" w:hAnsi="Aptos"/>
          <w:sz w:val="22"/>
          <w:szCs w:val="22"/>
        </w:rPr>
        <w:t xml:space="preserve">R - redovni uvjeti rada; I - izvanredni uvjeti (pokretanje i zaustavljanje, održavanje, kvar, nepovoljni vremenski uvjeti); IS - izvanredna situacija (izlijevanje, požar, nezgoda).</w:t>
      </w:r>
    </w:p>
    <w:p>
      <w:pPr>
        <w:numPr>
          <w:ilvl w:val="0"/>
          <w:numId w:val="1"/>
        </w:numPr>
        <w:spacing w:after="60"/>
        <w:jc w:val="both"/>
      </w:pPr>
      <w:r>
        <w:rPr>
          <w:rFonts w:ascii="Aptos" w:hAnsi="Aptos"/>
          <w:b/>
          <w:bCs/>
          <w:sz w:val="22"/>
          <w:szCs w:val="22"/>
        </w:rPr>
        <w:t xml:space="preserve">Obrazloženje: </w:t>
      </w:r>
      <w:r>
        <w:rPr>
          <w:rFonts w:ascii="Aptos" w:hAnsi="Aptos"/>
          <w:sz w:val="22"/>
          <w:szCs w:val="22"/>
        </w:rPr>
        <w:t xml:space="preserve">za svaki značajan aspekt ocjena je obrazložena u poglavlju 4.</w:t>
      </w:r>
    </w:p>
    <w:p>
      <w:pPr>
        <w:keepNext/>
        <w:spacing w:after="60" w:before="120"/>
        <w:jc w:val="both"/>
      </w:pPr>
      <w:r>
        <w:rPr>
          <w:rFonts w:ascii="Aptos" w:hAnsi="Aptos"/>
          <w:b/>
          <w:bCs/>
          <w:sz w:val="22"/>
          <w:szCs w:val="22"/>
        </w:rPr>
        <w:t xml:space="preserve">Ljestvice ocjene</w:t>
      </w:r>
    </w:p>
    <w:tbl>
      <w:tblPr>
        <w:tblStyle w:val="GridTable3-Accent2"/>
        <w:tblW w:w="9600" w:type="dxa"/>
        <w:tblLayout w:type="fixed"/>
        <w:tblLook w:firstColumn="0" w:firstRow="1" w:lastColumn="0" w:lastRow="0" w:noHBand="0" w:noVBand="1" w:val="04A0"/>
      </w:tblPr>
      <w:tblGrid>
        <w:gridCol w:w="900"/>
        <w:gridCol w:w="4300"/>
        <w:gridCol w:w="4400"/>
      </w:tblGrid>
      <w:tr>
        <w:trPr>
          <w:cantSplit/>
          <w:tblHeader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Ocjena</w:t>
            </w:r>
          </w:p>
        </w:tc>
        <w:tc>
          <w:tcPr>
            <w:tcW w:type="dxa" w:w="43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V - vjerojatnost / učestalost</w:t>
            </w:r>
          </w:p>
        </w:tc>
        <w:tc>
          <w:tcPr>
            <w:tcW w:type="dxa" w:w="4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P - ozbiljnost utjecaja na okoliš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1</w:t>
            </w:r>
          </w:p>
        </w:tc>
        <w:tc>
          <w:tcPr>
            <w:tcW w:type="dxa" w:w="4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Vrlo rijetko; samo u malo vjerojatnoj izvanrednoj situaciji</w:t>
            </w:r>
          </w:p>
        </w:tc>
        <w:tc>
          <w:tcPr>
            <w:tcW w:type="dxa" w:w="4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Zanemariv utjecaj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2</w:t>
            </w:r>
          </w:p>
        </w:tc>
        <w:tc>
          <w:tcPr>
            <w:tcW w:type="dxa" w:w="4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Rijetko (nekoliko puta u više godina)</w:t>
            </w:r>
          </w:p>
        </w:tc>
        <w:tc>
          <w:tcPr>
            <w:tcW w:type="dxa" w:w="4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Mali, lokalan, kratkotrajan i potpuno povratan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3</w:t>
            </w:r>
          </w:p>
        </w:tc>
        <w:tc>
          <w:tcPr>
            <w:tcW w:type="dxa" w:w="4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Povremeno (na dijelu projekata ili približno jednom godišnje)</w:t>
            </w:r>
          </w:p>
        </w:tc>
        <w:tc>
          <w:tcPr>
            <w:tcW w:type="dxa" w:w="4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Umjeren, lokalan, sanira se vlastitim mjerama; ili utječe na susjede (moguće pritužbe)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4</w:t>
            </w:r>
          </w:p>
        </w:tc>
        <w:tc>
          <w:tcPr>
            <w:tcW w:type="dxa" w:w="4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Često (na većini gradilišta, više puta godišnje)</w:t>
            </w:r>
          </w:p>
        </w:tc>
        <w:tc>
          <w:tcPr>
            <w:tcW w:type="dxa" w:w="4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Velik; onečišćenje tla ili vode koje zahtijeva sanaciju; osjetljiva lokacija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5</w:t>
            </w:r>
          </w:p>
        </w:tc>
        <w:tc>
          <w:tcPr>
            <w:tcW w:type="dxa" w:w="4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Stalno ili svakodnevno</w:t>
            </w:r>
          </w:p>
        </w:tc>
        <w:tc>
          <w:tcPr>
            <w:tcW w:type="dxa" w:w="4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Vrlo velik; dugotrajna ili nepovratna šteta (npr. more, zaštićeno područje)</w:t>
            </w:r>
          </w:p>
        </w:tc>
      </w:tr>
    </w:tbl>
    <w:p>
      <w:pPr>
        <w:pStyle w:val="Heading1"/>
      </w:pPr>
      <w:r>
        <w:t xml:space="preserve">OBJEDINJAVANJE RANIJIH EVIDENCIJA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Tablica prikazuje kamo je prenesena svaka stavka iz ranijih evidencija aspekata. Stavke istog sadržaja spojene su, a ocjene su ponovno određene prema jedinstvenoj metodologiji. Zasebne matrice po gradilištu ne vode se; aspekti specifični za lokaciju upisuju se u ovu matricu uz naziv lokacije.</w:t>
      </w:r>
    </w:p>
    <w:tbl>
      <w:tblPr>
        <w:tblStyle w:val="GridTable3-Accent2"/>
        <w:tblW w:w="9600" w:type="dxa"/>
        <w:tblLayout w:type="fixed"/>
        <w:tblLook w:firstColumn="0" w:firstRow="1" w:lastColumn="0" w:lastRow="0" w:noHBand="0" w:noVBand="1" w:val="04A0"/>
      </w:tblPr>
      <w:tblGrid>
        <w:gridCol w:w="2000"/>
        <w:gridCol w:w="1600"/>
        <w:gridCol w:w="1100"/>
        <w:gridCol w:w="1700"/>
        <w:gridCol w:w="3200"/>
      </w:tblGrid>
      <w:tr>
        <w:trPr>
          <w:cantSplit/>
          <w:tblHeader/>
        </w:trPr>
        <w:tc>
          <w:tcPr>
            <w:tcW w:type="dxa" w:w="20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Aspekt v1.1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AO-IMS-01 v1.0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REG-AO</w:t>
            </w:r>
          </w:p>
        </w:tc>
        <w:tc>
          <w:tcPr>
            <w:tcW w:type="dxa" w:w="17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FRM-IMS-09 v1.0</w:t>
            </w:r>
          </w:p>
        </w:tc>
        <w:tc>
          <w:tcPr>
            <w:tcW w:type="dxa" w:w="32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IMS-RISK-ENV v1.0 / PROC-IMS-07 v1.0</w:t>
            </w:r>
          </w:p>
        </w:tc>
      </w:tr>
      <w:tr>
        <w:trPr>
          <w:cantSplit/>
        </w:trPr>
        <w:tc>
          <w:tcPr>
            <w:tcW w:type="dxa" w:w="2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A-01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AO1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AO-01 (dio)</w:t>
            </w:r>
          </w:p>
        </w:tc>
        <w:tc>
          <w:tcPr>
            <w:tcW w:type="dxa" w:w="3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prašina; iskapanje</w:t>
            </w:r>
          </w:p>
        </w:tc>
      </w:tr>
      <w:tr>
        <w:trPr>
          <w:cantSplit/>
        </w:trPr>
        <w:tc>
          <w:tcPr>
            <w:tcW w:type="dxa" w:w="2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A-02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AO7 (buka)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AO-05</w:t>
            </w:r>
          </w:p>
        </w:tc>
        <w:tc>
          <w:tcPr>
            <w:tcW w:type="dxa" w:w="3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buka</w:t>
            </w:r>
          </w:p>
        </w:tc>
      </w:tr>
      <w:tr>
        <w:trPr>
          <w:cantSplit/>
        </w:trPr>
        <w:tc>
          <w:tcPr>
            <w:tcW w:type="dxa" w:w="2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A-03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AO2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2</w:t>
            </w:r>
          </w:p>
        </w:tc>
        <w:tc>
          <w:tcPr>
            <w:tcW w:type="dxa" w:w="1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AO-04</w:t>
            </w:r>
          </w:p>
        </w:tc>
        <w:tc>
          <w:tcPr>
            <w:tcW w:type="dxa" w:w="3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emisije ispušnih plinova; gorivo</w:t>
            </w:r>
          </w:p>
        </w:tc>
      </w:tr>
      <w:tr>
        <w:trPr>
          <w:cantSplit/>
        </w:trPr>
        <w:tc>
          <w:tcPr>
            <w:tcW w:type="dxa" w:w="2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A-04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AO7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</w:tr>
      <w:tr>
        <w:trPr>
          <w:cantSplit/>
        </w:trPr>
        <w:tc>
          <w:tcPr>
            <w:tcW w:type="dxa" w:w="2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A-05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3</w:t>
            </w:r>
          </w:p>
        </w:tc>
        <w:tc>
          <w:tcPr>
            <w:tcW w:type="dxa" w:w="1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AO-02 (dio)</w:t>
            </w:r>
          </w:p>
        </w:tc>
        <w:tc>
          <w:tcPr>
            <w:tcW w:type="dxa" w:w="3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prolijevanje betona, žbuke, mulja</w:t>
            </w:r>
          </w:p>
        </w:tc>
      </w:tr>
      <w:tr>
        <w:trPr>
          <w:cantSplit/>
        </w:trPr>
        <w:tc>
          <w:tcPr>
            <w:tcW w:type="dxa" w:w="2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A-06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AO-02</w:t>
            </w:r>
          </w:p>
        </w:tc>
        <w:tc>
          <w:tcPr>
            <w:tcW w:type="dxa" w:w="3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građevinski otpad</w:t>
            </w:r>
          </w:p>
        </w:tc>
      </w:tr>
      <w:tr>
        <w:trPr>
          <w:cantSplit/>
        </w:trPr>
        <w:tc>
          <w:tcPr>
            <w:tcW w:type="dxa" w:w="2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A-07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5</w:t>
            </w:r>
          </w:p>
        </w:tc>
        <w:tc>
          <w:tcPr>
            <w:tcW w:type="dxa" w:w="1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građevinski otpad</w:t>
            </w:r>
          </w:p>
        </w:tc>
      </w:tr>
      <w:tr>
        <w:trPr>
          <w:cantSplit/>
        </w:trPr>
        <w:tc>
          <w:tcPr>
            <w:tcW w:type="dxa" w:w="2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A-08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AO5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opasni otpad</w:t>
            </w:r>
          </w:p>
        </w:tc>
      </w:tr>
      <w:tr>
        <w:trPr>
          <w:cantSplit/>
        </w:trPr>
        <w:tc>
          <w:tcPr>
            <w:tcW w:type="dxa" w:w="2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A-09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AO4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ambalažni otpad</w:t>
            </w:r>
          </w:p>
        </w:tc>
      </w:tr>
      <w:tr>
        <w:trPr>
          <w:cantSplit/>
        </w:trPr>
        <w:tc>
          <w:tcPr>
            <w:tcW w:type="dxa" w:w="2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A-10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AO-06</w:t>
            </w:r>
          </w:p>
        </w:tc>
        <w:tc>
          <w:tcPr>
            <w:tcW w:type="dxa" w:w="3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</w:tr>
      <w:tr>
        <w:trPr>
          <w:cantSplit/>
        </w:trPr>
        <w:tc>
          <w:tcPr>
            <w:tcW w:type="dxa" w:w="2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A-11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4</w:t>
            </w:r>
          </w:p>
        </w:tc>
        <w:tc>
          <w:tcPr>
            <w:tcW w:type="dxa" w:w="1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AO-01</w:t>
            </w:r>
          </w:p>
        </w:tc>
        <w:tc>
          <w:tcPr>
            <w:tcW w:type="dxa" w:w="3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izlijevanje goriva (primjer 2)</w:t>
            </w:r>
          </w:p>
        </w:tc>
      </w:tr>
      <w:tr>
        <w:trPr>
          <w:cantSplit/>
        </w:trPr>
        <w:tc>
          <w:tcPr>
            <w:tcW w:type="dxa" w:w="2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A-12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AO6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</w:tr>
      <w:tr>
        <w:trPr>
          <w:cantSplit/>
        </w:trPr>
        <w:tc>
          <w:tcPr>
            <w:tcW w:type="dxa" w:w="2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A-13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AO3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AO-07</w:t>
            </w:r>
          </w:p>
        </w:tc>
        <w:tc>
          <w:tcPr>
            <w:tcW w:type="dxa" w:w="3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more i obalne zone</w:t>
            </w:r>
          </w:p>
        </w:tc>
      </w:tr>
      <w:tr>
        <w:trPr>
          <w:cantSplit/>
        </w:trPr>
        <w:tc>
          <w:tcPr>
            <w:tcW w:type="dxa" w:w="2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A-14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more i obalne zone</w:t>
            </w:r>
          </w:p>
        </w:tc>
      </w:tr>
      <w:tr>
        <w:trPr>
          <w:cantSplit/>
        </w:trPr>
        <w:tc>
          <w:tcPr>
            <w:tcW w:type="dxa" w:w="2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A-15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AO-03</w:t>
            </w:r>
          </w:p>
        </w:tc>
        <w:tc>
          <w:tcPr>
            <w:tcW w:type="dxa" w:w="3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</w:tr>
      <w:tr>
        <w:trPr>
          <w:cantSplit/>
        </w:trPr>
        <w:tc>
          <w:tcPr>
            <w:tcW w:type="dxa" w:w="2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A-16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izvanredne situacije (požar)</w:t>
            </w:r>
          </w:p>
        </w:tc>
      </w:tr>
      <w:tr>
        <w:trPr>
          <w:cantSplit/>
        </w:trPr>
        <w:tc>
          <w:tcPr>
            <w:tcW w:type="dxa" w:w="2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A-17, A-18, A-20, A-21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novo (preispitivanje 25.09.2026.)</w:t>
            </w:r>
          </w:p>
        </w:tc>
      </w:tr>
      <w:tr>
        <w:trPr>
          <w:cantSplit/>
        </w:trPr>
        <w:tc>
          <w:tcPr>
            <w:tcW w:type="dxa" w:w="2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A-19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potrošnja resursa (voda, energija)</w:t>
            </w:r>
          </w:p>
        </w:tc>
      </w:tr>
      <w:tr>
        <w:trPr>
          <w:cantSplit/>
        </w:trPr>
        <w:tc>
          <w:tcPr>
            <w:tcW w:type="dxa" w:w="2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A-22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AO8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6</w:t>
            </w:r>
          </w:p>
        </w:tc>
        <w:tc>
          <w:tcPr>
            <w:tcW w:type="dxa" w:w="1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AO-08</w:t>
            </w:r>
          </w:p>
        </w:tc>
        <w:tc>
          <w:tcPr>
            <w:tcW w:type="dxa" w:w="3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</w:tr>
    </w:tbl>
    <w:p>
      <w:pPr>
        <w:sectPr w:rsidR="009B43E8" w:rsidSect="0036441E">
          <w:headerReference w:type="default" r:id="rId8"/>
          <w:footerReference w:type="default" r:id="rId9"/>
          <w:pgSz w:w="11900" w:h="16840"/>
          <w:pgMar w:top="1848" w:right="1134" w:bottom="1134" w:left="1134" w:header="709" w:footer="709" w:gutter="0"/>
          <w:cols w:space="708"/>
          <w:docGrid w:linePitch="360"/>
        </w:sectPr>
      </w:pPr>
    </w:p>
    <w:p>
      <w:pPr>
        <w:pStyle w:val="Heading1"/>
      </w:pPr>
      <w:r>
        <w:t xml:space="preserve">TABLICA MATRICE ASPEKATA I UTJECAJA</w:t>
      </w:r>
    </w:p>
    <w:p>
      <w:pPr>
        <w:spacing w:after="60"/>
        <w:jc w:val="both"/>
      </w:pPr>
      <w:r>
        <w:rPr>
          <w:rFonts w:ascii="Aptos" w:hAnsi="Aptos"/>
          <w:sz w:val="18"/>
          <w:szCs w:val="18"/>
        </w:rPr>
        <w:t xml:space="preserve">Stanje na dan preispitivanja 25.09.2026. Uvjeti: R - redovni, I - izvanredni, IS - izvanredna situacija. Značajni aspekti (DA) označeni su bojom.</w:t>
      </w:r>
    </w:p>
    <w:tbl>
      <w:tblPr>
        <w:tblStyle w:val="GridTable3-Accent2"/>
        <w:tblW w:w="14190" w:type="dxa"/>
        <w:tblLayout w:type="fixed"/>
        <w:tblLook w:firstColumn="0" w:firstRow="1" w:lastColumn="0" w:lastRow="0" w:noHBand="0" w:noVBand="1" w:val="04A0"/>
      </w:tblPr>
      <w:tblGrid>
        <w:gridCol w:w="520"/>
        <w:gridCol w:w="1350"/>
        <w:gridCol w:w="1450"/>
        <w:gridCol w:w="1400"/>
        <w:gridCol w:w="600"/>
        <w:gridCol w:w="300"/>
        <w:gridCol w:w="300"/>
        <w:gridCol w:w="360"/>
        <w:gridCol w:w="760"/>
        <w:gridCol w:w="1450"/>
        <w:gridCol w:w="2800"/>
        <w:gridCol w:w="1000"/>
        <w:gridCol w:w="1100"/>
        <w:gridCol w:w="800"/>
      </w:tblGrid>
      <w:tr>
        <w:trPr>
          <w:cantSplit/>
          <w:tblHeader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ID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Aktivnost / proces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Aspekt okoliša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Utjecaj na okoliš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Uvjeti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V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</w:t>
            </w:r>
          </w:p>
        </w:tc>
        <w:tc>
          <w:tcPr>
            <w:tcW w:type="dxa" w:w="36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Z</w:t>
            </w:r>
          </w:p>
        </w:tc>
        <w:tc>
          <w:tcPr>
            <w:tcW w:type="dxa" w:w="76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Značajan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Zakonski zahtjev (RZZ)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Mjere kontrole (postojeće i planirane)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Nositelj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Rok / status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Veza RIZ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A-01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Iskop i zemljani radovi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Prašina; uklanjanje tla i vegetacije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Onečišćenje zraka; oštećenje tla i vegetacije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7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DA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Zakon o zaštiti zraka; uvjeti iz akata za građenje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Vlaženje površina i prometnica gradilišta u suhom razdoblju; ograničenje brzine vozila; očuvanje vegetacije izvan zone radova; prilagodba plana radova tijekom suše.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/ aktivno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R-13, R-21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A-02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Strojni radovi i rušenje, osobito u naselju (npr. DV Pčelica)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Buka i vibracije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Uznemiravanje stanovnika i korisnika susjednih objekata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7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DA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Zakon o zaštiti od buke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Rad u dopuštenom vremenu; ispravni strojevi; bučni radovi u terminima dogovorenim s investitorom; evidencija pritužbi.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/ aktivno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R-13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A-03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Rad strojeva i transport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Potrošnja goriva; emisije ispušnih plinova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Onečišćenje zraka; emisije CO2 (klimatske promjene)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5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10</w:t>
            </w:r>
          </w:p>
        </w:tc>
        <w:tc>
          <w:tcPr>
            <w:tcW w:type="dxa" w:w="7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DA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Zakon o zaštiti zraka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Redovno održavanje strojeva i vozila; planiranje ruta; gašenje strojeva u praznom hodu; mjesečna evidencija potrošnje goriva (P-10).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HSE referent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31.03.2027. / otvoreno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P-10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A-04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Transport materijala i otpada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Buka, prašina i blato na javnim prometnicama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Uznemiravanje zajednice; onečišćenje prometnica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8</w:t>
            </w:r>
          </w:p>
        </w:tc>
        <w:tc>
          <w:tcPr>
            <w:tcW w:type="dxa" w:w="7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NE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Zakon o cestama (privremena regulacija prometa)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Planiranje ruta i vremena vožnje; čišćenje kotača i prilaza; prekrivanje tereta.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/ aktivno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-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A-05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Betoniranje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Ispiranje miješalica, pumpi i alata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Onečišćenje tla i voda (alkalna voda, cementni mulj)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R, I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7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DA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Zakon o vodama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Određeno mjesto za ispiranje (nepropusna podloga ili posuda); zabrana ispiranja u tlo, slivnike i more; uvjet u narudžbi betona.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/ aktivno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-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A-06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Betoniranje i zidarski radovi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Otpad od betona, morta i ambalaže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Zauzimanje prostora odlagališta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8</w:t>
            </w:r>
          </w:p>
        </w:tc>
        <w:tc>
          <w:tcPr>
            <w:tcW w:type="dxa" w:w="7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NE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Zakon o gospodarenju otpadom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Odvajanje po vrstama; predaja ovlaštenom sakupljaču; očevidnik otpada.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/ aktivno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R-14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A-07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Rušenje, demontaža i rekonstrukcija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Građevni otpad (beton, opeka, metal, drvo, miješani)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Zauzimanje prostora odlagališta; trošenje resursa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5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15</w:t>
            </w:r>
          </w:p>
        </w:tc>
        <w:tc>
          <w:tcPr>
            <w:tcW w:type="dxa" w:w="7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DA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Zakon o gospodarenju otpadom; Pravilnik o gospodarenju građevnim otpadom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Razdvajanje u označenim spremnicima; predaja ovlaštenom sakupljaču uz prateći list; očevidnik otpada (FRM-IMS-07); mogućnost oporabe (P-05).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HSE referent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/ aktivno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R-14, P-05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A-08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Održavanje strojeva, završni radovi, intervencije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Opasni otpad (zauljeni otpad, sorbenti, ambalaža boja i kemikalija); miješanje s neopasnim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Onečišćenje tla i voda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7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DA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Zakon o gospodarenju otpadom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Odvojeni označeni spremnici za opasni otpad; natkriveno skladištenje; predaja ovlaštenom sakupljaču; obuka radnika; kontrola prema FRM-IMS-18.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HSE referent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/ aktivno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R-14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A-09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Nabava materijala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Ambalažni otpad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Opterećenje okoliša otpadom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8</w:t>
            </w:r>
          </w:p>
        </w:tc>
        <w:tc>
          <w:tcPr>
            <w:tcW w:type="dxa" w:w="7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NE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Zakon o gospodarenju otpadom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Odvojeno prikupljanje ambalaže; s dobavljačima dogovarati povrat ambalaže (P-05).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 / MR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31.03.2027. / otvoreno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P-05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A-10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Skladištenje materijala na gradilištu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Rasipanje i ispiranje rasutog materijala (cement, pijesak, šljunak)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Onečišćenje tla, oborinske odvodnje i mora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R, I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7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NE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Zakon o vodama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Natkriveno ili prekriveno skladištenje na paletama; udaljenost od slivnika; pojačane mjere pri najavi jakih oborina.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/ aktivno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R-22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A-11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Tankiranje i pretakanje goriva, rukovanje uljima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Izlijevanje goriva ili ulja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Onečišćenje tla, oborinske odvodnje i podzemnih voda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IS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7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DA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Zakon o vodama; Zakon o gospodarenju otpadom (zbrinjavanje onečišćenog materijala)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Spremnici s tankvanama; tankiranje na određenom mjestu; apsorbenti i prekrivač slivnika na označenom mjestu; PROC-IMS-09 i PLAN-IIZS (scenarij IIZS-03); korektivne radnje iz ZAP-VJ-01.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HSE referent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 / otvoreno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R-15, P-06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A-12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Rad i održavanje strojeva na gradilištu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Curenje ulja, maziva i hidrauličnog ulja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Onečišćenje tla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I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7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DA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Zakon o vodama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Redovno servisiranje; dnevna vizualna provjera strojeva; podmetači ispod strojeva; servisiranje samo na zaštićenoj podlozi.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31.03.2027. / otvoreno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R-10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A-13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Podmorski radovi i radovi uz more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Izlijevanje goriva ili ulja s plovila i strojeva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Onečišćenje mora i obalnog područja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IS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5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10</w:t>
            </w:r>
          </w:p>
        </w:tc>
        <w:tc>
          <w:tcPr>
            <w:tcW w:type="dxa" w:w="7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DA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Zakon o vodama; Zakon o zaštiti prirode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Plutajuće apsorpcijske brane i apsorbenti na mjestu rada; tankiranje izvan mora; ispravnost plovila i strojeva; PLAN-IIZS. Podmorske radove izvodi specijalizirani podizvođač, evaluiran na FRM-IMS-06 prije angažmana, uz ugovorom prenesene okolišne mjere.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HSE referent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(svaki rad uz more) / aktivno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R-15, R-23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A-14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Podmorski radovi i radovi uz more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Zamućenje mora; poremećaj morskog dna; ispiranje materijala u more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Utjecaj na morska staništa i kakvoću mora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7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DA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Zakon o zaštiti prirode; Zakon o vodama; uvjeti iz akata za građenje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Ograničenje zone rada; zabrana odlaganja materijala u more; zaštitne zavjese gdje su propisane; provjera uvjeta iz akata za građenje prije početka radova. Podmorske radove izvodi specijalizirani podizvođač, evaluiran na FRM-IMS-06 prije angažmana, uz ugovorom prenesene okolišne mjere.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(svaki rad uz more) / aktivno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R-23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A-15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Zavarivanje i rezanje metala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Dim i plinovi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Lokalno onečišćenje zraka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7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NE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-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Rad u prozračenom prostoru; ispravna oprema.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/ aktivno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-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A-16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Vruće radnje; skladištenje zapaljivih tvari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Požar na gradilištu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Emisije dima; onečišćenje vodom za gašenje; otpad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IS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7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NE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Zakon o zaštiti od požara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Aparati za gašenje; nadzor vrućih radova; postupanje prema PROC-IMS-09.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HSE referent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/ aktivno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R-15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A-17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Završni radovi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Uporaba boja, lakova, ljepila i otapala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Emisije hlapivih organskih spojeva; opasna ambalaža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6</w:t>
            </w:r>
          </w:p>
        </w:tc>
        <w:tc>
          <w:tcPr>
            <w:tcW w:type="dxa" w:w="7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NE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Zakon o gospodarenju otpadom (ambalaža)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Zatvorene posude; sigurnosno-tehnički listovi na gradilištu; ambalaža kao opasni otpad (A-08).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/ aktivno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-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A-18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Radovi na uređenju okoliša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Zemljani radovi, sadnja, uporaba gnojiva; nove zelene površine (pozitivan aspekt)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Utjecaj na tlo; povećanje zelenih površina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7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NE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-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Uporaba materijala prema projektu; zaštita postojećeg drveća.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/ aktivno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-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A-19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Rad na gradilištu općenito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Potrošnja vode i električne energije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Trošenje prirodnih resursa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</w:t>
            </w:r>
          </w:p>
        </w:tc>
        <w:tc>
          <w:tcPr>
            <w:tcW w:type="dxa" w:w="3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7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NE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-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Racionalna uporaba; zatvaranje ventila i isključivanje opreme kad se ne koristi.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/ aktivno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-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A-20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Rad pri nepovoljnim vremenskim uvjetima (bura, jake oborine)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Raznošenje otpada, prašine i lakog materijala; ispiranje mulja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Onečišćenje okoline, oborinske odvodnje i mora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I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7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NE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Zakon o vodama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Učvršćivanje spremnika i materijala; zaštita slivnika; mjere iz R-21 i R-22.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/ aktivno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R-21, R-22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A-21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Rušenje, rezanje i brušenje pri rekonstrukcijama i završnim radovima (npr. DV Pčelica)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Prašina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Onečišćenje zraka u naselju; utjecaj na korisnike susjednih objekata i djecu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7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DA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Zakon o zaštiti zraka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Vlaženje; alati s usisom; prekrivanje i zatvaranje zone rada; čišćenje prilaza; prašnjavi radovi u terminima dogovorenim s investitorom.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(tijekom projekta) / aktivno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R-12, R-13</w:t>
            </w:r>
          </w:p>
        </w:tc>
      </w:tr>
      <w:tr>
        <w:trPr>
          <w:cantSplit/>
        </w:trPr>
        <w:tc>
          <w:tcPr>
            <w:tcW w:type="dxa" w:w="5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A-22</w:t>
            </w:r>
          </w:p>
        </w:tc>
        <w:tc>
          <w:tcPr>
            <w:tcW w:type="dxa" w:w="13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Uredske aktivnosti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Potrošnja papira i energije</w:t>
            </w:r>
          </w:p>
        </w:tc>
        <w:tc>
          <w:tcPr>
            <w:tcW w:type="dxa" w:w="14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Neizravni utjecaj na resurse i emisije</w:t>
            </w:r>
          </w:p>
        </w:tc>
        <w:tc>
          <w:tcPr>
            <w:tcW w:type="dxa" w:w="6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</w:t>
            </w:r>
          </w:p>
        </w:tc>
        <w:tc>
          <w:tcPr>
            <w:tcW w:type="dxa" w:w="3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76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NE</w:t>
            </w:r>
          </w:p>
        </w:tc>
        <w:tc>
          <w:tcPr>
            <w:tcW w:type="dxa" w:w="1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-</w:t>
            </w:r>
          </w:p>
        </w:tc>
        <w:tc>
          <w:tcPr>
            <w:tcW w:type="dxa" w:w="2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Digitalna dokumentacija; elektronički računi i arhiva; isključivanje opreme.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MR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/ aktivno</w:t>
            </w:r>
          </w:p>
        </w:tc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-</w:t>
            </w:r>
          </w:p>
        </w:tc>
      </w:tr>
    </w:tbl>
    <w:p>
      <w:pPr>
        <w:spacing w:after="60" w:before="60"/>
        <w:jc w:val="both"/>
      </w:pPr>
      <w:r>
        <w:rPr>
          <w:rFonts w:ascii="Aptos" w:hAnsi="Aptos"/>
          <w:sz w:val="18"/>
          <w:szCs w:val="18"/>
        </w:rPr>
        <w:t xml:space="preserve">Ukupno aspekata: 22; značajnih: 11 (A-01, A-02, A-03, A-05, A-07, A-08, A-11, A-12, A-13, A-14, A-21).</w:t>
      </w:r>
    </w:p>
    <w:p>
      <w:pPr>
        <w:pStyle w:val="Heading1"/>
      </w:pPr>
      <w:r>
        <w:t xml:space="preserve">OBRAZLOŽENJE OCJENE ZNAČAJNIH ASPEKATA</w:t>
      </w:r>
    </w:p>
    <w:tbl>
      <w:tblPr>
        <w:tblStyle w:val="GridTable3-Accent2"/>
        <w:tblW w:w="14100" w:type="dxa"/>
        <w:tblLayout w:type="fixed"/>
        <w:tblLook w:firstColumn="0" w:firstRow="1" w:lastColumn="0" w:lastRow="0" w:noHBand="0" w:noVBand="1" w:val="04A0"/>
      </w:tblPr>
      <w:tblGrid>
        <w:gridCol w:w="700"/>
        <w:gridCol w:w="3000"/>
        <w:gridCol w:w="8800"/>
        <w:gridCol w:w="1600"/>
      </w:tblGrid>
      <w:tr>
        <w:trPr>
          <w:cantSplit/>
          <w:tblHeader/>
        </w:trPr>
        <w:tc>
          <w:tcPr>
            <w:tcW w:type="dxa" w:w="7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ID</w:t>
            </w:r>
          </w:p>
        </w:tc>
        <w:tc>
          <w:tcPr>
            <w:tcW w:type="dxa" w:w="30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Aspekt</w:t>
            </w:r>
          </w:p>
        </w:tc>
        <w:tc>
          <w:tcPr>
            <w:tcW w:type="dxa" w:w="88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Obrazloženje ocjene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Veza RIZ-IMS-01</w:t>
            </w:r>
          </w:p>
        </w:tc>
      </w:tr>
      <w:tr>
        <w:trPr>
          <w:cantSplit/>
        </w:trPr>
        <w:tc>
          <w:tcPr>
            <w:tcW w:type="dxa" w:w="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A-01</w:t>
            </w:r>
          </w:p>
        </w:tc>
        <w:tc>
          <w:tcPr>
            <w:tcW w:type="dxa" w:w="3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Prašina; uklanjanje tla i vegetacije</w:t>
            </w:r>
          </w:p>
        </w:tc>
        <w:tc>
          <w:tcPr>
            <w:tcW w:type="dxa" w:w="8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Iskopi se izvode na većini gradilišta (V=4). Prašina utječe na okolne stanovnike i vegetaciju; utjecaj je lokalan i povratan, ali izražen u suhom i vjetrovitom razdoblju (P=3). Z=12.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R-13, R-21</w:t>
            </w:r>
          </w:p>
        </w:tc>
      </w:tr>
      <w:tr>
        <w:trPr>
          <w:cantSplit/>
        </w:trPr>
        <w:tc>
          <w:tcPr>
            <w:tcW w:type="dxa" w:w="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A-02</w:t>
            </w:r>
          </w:p>
        </w:tc>
        <w:tc>
          <w:tcPr>
            <w:tcW w:type="dxa" w:w="3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Buka i vibracije</w:t>
            </w:r>
          </w:p>
        </w:tc>
        <w:tc>
          <w:tcPr>
            <w:tcW w:type="dxa" w:w="8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Strojni radovi odvijaju se svakodnevno tijekom grubih radova (V=4). Gradilišta u naselju i uz objekte osjetljivih korisnika izložena su pritužbama (P=3). Z=12.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R-13</w:t>
            </w:r>
          </w:p>
        </w:tc>
      </w:tr>
      <w:tr>
        <w:trPr>
          <w:cantSplit/>
        </w:trPr>
        <w:tc>
          <w:tcPr>
            <w:tcW w:type="dxa" w:w="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A-03</w:t>
            </w:r>
          </w:p>
        </w:tc>
        <w:tc>
          <w:tcPr>
            <w:tcW w:type="dxa" w:w="3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Potrošnja goriva; emisije ispušnih plinova</w:t>
            </w:r>
          </w:p>
        </w:tc>
        <w:tc>
          <w:tcPr>
            <w:tcW w:type="dxa" w:w="8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Strojevi i vozila rade svakodnevno (V=5). Pojedinačni utjecaj je umjeren i kratkotrajan (P=2), ali stalan i povezan s emisijama stakleničkih plinova. Z=10.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P-10</w:t>
            </w:r>
          </w:p>
        </w:tc>
      </w:tr>
      <w:tr>
        <w:trPr>
          <w:cantSplit/>
        </w:trPr>
        <w:tc>
          <w:tcPr>
            <w:tcW w:type="dxa" w:w="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A-05</w:t>
            </w:r>
          </w:p>
        </w:tc>
        <w:tc>
          <w:tcPr>
            <w:tcW w:type="dxa" w:w="3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Ispiranje miješalica, pumpi i alata</w:t>
            </w:r>
          </w:p>
        </w:tc>
        <w:tc>
          <w:tcPr>
            <w:tcW w:type="dxa" w:w="8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Ispiranje se provodi nakon svakog betoniranja (V=3). Alkalna voda i cementni mulj mogu onečistiti tlo, oborinsku odvodnju ili more, a sanacija zahtijeva uklanjanje tla (P=4). Z=12.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</w:tr>
      <w:tr>
        <w:trPr>
          <w:cantSplit/>
        </w:trPr>
        <w:tc>
          <w:tcPr>
            <w:tcW w:type="dxa" w:w="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A-07</w:t>
            </w:r>
          </w:p>
        </w:tc>
        <w:tc>
          <w:tcPr>
            <w:tcW w:type="dxa" w:w="3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Građevni otpad (beton, opeka, metal, drvo, miješani)</w:t>
            </w:r>
          </w:p>
        </w:tc>
        <w:tc>
          <w:tcPr>
            <w:tcW w:type="dxa" w:w="8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Građevni otpad nastaje na svakom gradilištu, osobito pri rekonstrukcijama (V=5). Količine su velike, a razvrstavanje i evidencija zakonska su obveza (P=3). Z=15.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R-14, P-05</w:t>
            </w:r>
          </w:p>
        </w:tc>
      </w:tr>
      <w:tr>
        <w:trPr>
          <w:cantSplit/>
        </w:trPr>
        <w:tc>
          <w:tcPr>
            <w:tcW w:type="dxa" w:w="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A-08</w:t>
            </w:r>
          </w:p>
        </w:tc>
        <w:tc>
          <w:tcPr>
            <w:tcW w:type="dxa" w:w="3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Opasni otpad (zauljeni otpad, sorbenti, ambalaža boja i kemikalija); miješanje s neopasnim</w:t>
            </w:r>
          </w:p>
        </w:tc>
        <w:tc>
          <w:tcPr>
            <w:tcW w:type="dxa" w:w="8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Opasni otpad nastaje povremeno (V=3). Miješanje s neopasnim otpadom uzrokuje onečišćenje tla i voda i kršenje zakonskih obveza (P=4). Z=12.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R-14</w:t>
            </w:r>
          </w:p>
        </w:tc>
      </w:tr>
      <w:tr>
        <w:trPr>
          <w:cantSplit/>
        </w:trPr>
        <w:tc>
          <w:tcPr>
            <w:tcW w:type="dxa" w:w="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A-11</w:t>
            </w:r>
          </w:p>
        </w:tc>
        <w:tc>
          <w:tcPr>
            <w:tcW w:type="dxa" w:w="3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Izlijevanje goriva ili ulja</w:t>
            </w:r>
          </w:p>
        </w:tc>
        <w:tc>
          <w:tcPr>
            <w:tcW w:type="dxa" w:w="8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Tankiranje je redovita aktivnost, a istjecanje je moguće približno jednom godišnje (V=3). Gorivo u oborinskoj odvodnji ili tlu zahtijeva vanjsku sanaciju (P=4). Vježba 14.09.2026. (ZAP-VJ-01) pokazala je da oprema za zadržavanje nije uvijek na predviđenom mjestu. Z=12.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R-15, P-06</w:t>
            </w:r>
          </w:p>
        </w:tc>
      </w:tr>
      <w:tr>
        <w:trPr>
          <w:cantSplit/>
        </w:trPr>
        <w:tc>
          <w:tcPr>
            <w:tcW w:type="dxa" w:w="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A-12</w:t>
            </w:r>
          </w:p>
        </w:tc>
        <w:tc>
          <w:tcPr>
            <w:tcW w:type="dxa" w:w="3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Curenje ulja, maziva i hidrauličnog ulja</w:t>
            </w:r>
          </w:p>
        </w:tc>
        <w:tc>
          <w:tcPr>
            <w:tcW w:type="dxa" w:w="8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Strojevi mogu povremeno propuštati, osobito stariji (V=3). Onečišćeno tlo mora se ukloniti kao opasni otpad (P=4). Z=12.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R-10</w:t>
            </w:r>
          </w:p>
        </w:tc>
      </w:tr>
      <w:tr>
        <w:trPr>
          <w:cantSplit/>
        </w:trPr>
        <w:tc>
          <w:tcPr>
            <w:tcW w:type="dxa" w:w="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A-13</w:t>
            </w:r>
          </w:p>
        </w:tc>
        <w:tc>
          <w:tcPr>
            <w:tcW w:type="dxa" w:w="3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Izlijevanje goriva ili ulja s plovila i strojeva</w:t>
            </w:r>
          </w:p>
        </w:tc>
        <w:tc>
          <w:tcPr>
            <w:tcW w:type="dxa" w:w="8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Izvanredna situacija male vjerojatnosti (V=2), ali s mogućom dugotrajnom štetom za more i obalu (P=5). Značajan i prema pravilu P=5. Z=10.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R-15, R-23</w:t>
            </w:r>
          </w:p>
        </w:tc>
      </w:tr>
      <w:tr>
        <w:trPr>
          <w:cantSplit/>
        </w:trPr>
        <w:tc>
          <w:tcPr>
            <w:tcW w:type="dxa" w:w="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A-14</w:t>
            </w:r>
          </w:p>
        </w:tc>
        <w:tc>
          <w:tcPr>
            <w:tcW w:type="dxa" w:w="3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Zamućenje mora; poremećaj morskog dna; ispiranje materijala u more</w:t>
            </w:r>
          </w:p>
        </w:tc>
        <w:tc>
          <w:tcPr>
            <w:tcW w:type="dxa" w:w="8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Pri podmorskim radovima zamućenje nastaje redovito (V=3). Morska staništa su osjetljiva, a oporavak dugotrajan (P=4). Z=12.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R-23</w:t>
            </w:r>
          </w:p>
        </w:tc>
      </w:tr>
      <w:tr>
        <w:trPr>
          <w:cantSplit/>
        </w:trPr>
        <w:tc>
          <w:tcPr>
            <w:tcW w:type="dxa" w:w="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A-21</w:t>
            </w:r>
          </w:p>
        </w:tc>
        <w:tc>
          <w:tcPr>
            <w:tcW w:type="dxa" w:w="3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Prašina</w:t>
            </w:r>
          </w:p>
        </w:tc>
        <w:tc>
          <w:tcPr>
            <w:tcW w:type="dxa" w:w="8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Rušenje i brušenje česti su pri rekonstrukcijama i završnim radovima (V=4). Lokacije su u naselju uz osjetljive korisnike, uključujući djecu (P=3). Z=12.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R-12, R-13</w:t>
            </w:r>
          </w:p>
        </w:tc>
      </w:tr>
    </w:tbl>
    <w:p>
      <w:pPr>
        <w:sectPr w:rsidR="00EB2C1E" w:rsidSect="009B43E8">
          <w:headerReference w:type="default" r:id="rId10"/>
          <w:footerReference w:type="default" r:id="rId11"/>
          <w:pgSz w:w="16840" w:h="11900" w:orient="landscape"/>
          <w:pgMar w:top="1134" w:right="1134" w:bottom="1134" w:left="1134" w:header="709" w:footer="709" w:gutter="0"/>
          <w:cols w:space="708"/>
          <w:docGrid w:linePitch="360"/>
        </w:sectPr>
      </w:pPr>
    </w:p>
    <w:p>
      <w:pPr>
        <w:pStyle w:val="Heading1"/>
      </w:pPr>
      <w:r>
        <w:t xml:space="preserve">PRAĆENJE I PREISPITIVANJE</w:t>
      </w:r>
    </w:p>
    <w:p>
      <w:pPr>
        <w:numPr>
          <w:ilvl w:val="0"/>
          <w:numId w:val="1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Matrica se preispituje pri promjeni djelatnosti, otvaranju novog gradilišta, izmjeni propisa, nakon izvanredne situacije ili vježbe, nakon opravdane pritužbe te najmanje jednom godišnje u sklopu upravine ocjene (PROC-M1).</w:t>
      </w:r>
    </w:p>
    <w:p>
      <w:pPr>
        <w:numPr>
          <w:ilvl w:val="0"/>
          <w:numId w:val="1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Pri otvaranju novog gradilišta voditelj gradilišta i HSE referent provjeravaju primjenjivost aspekata na lokaciju i u ovu matricu upisuju aspekte specifične za lokaciju.</w:t>
      </w:r>
    </w:p>
    <w:p>
      <w:pPr>
        <w:numPr>
          <w:ilvl w:val="0"/>
          <w:numId w:val="1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Za značajne aspekte mjere se uključuju u PKI, PLAN-IIZS i, prema potrebi, u ciljeve (CILJ-IMS-01) i Program poboljšanja (PROG-PB).</w:t>
      </w:r>
    </w:p>
    <w:p>
      <w:pPr>
        <w:numPr>
          <w:ilvl w:val="0"/>
          <w:numId w:val="1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Rizici koji proizlaze iz značajnih aspekata vode se u registru rizika RIZ-IMS-01 (stupac Veza RIZ), a zakonski zahtjevi u Registru zakonskih zahtjeva FRM-IMS-08.</w:t>
      </w:r>
    </w:p>
    <w:p>
      <w:pPr>
        <w:numPr>
          <w:ilvl w:val="0"/>
          <w:numId w:val="1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Usklađenost matrice aspekata, registra rizika i registra zakonskih zahtjeva provjerava se u svakom internom auditu prema checklisti OBR-IA-IMS-01.</w:t>
      </w:r>
    </w:p>
    <w:p>
      <w:pPr>
        <w:numPr>
          <w:ilvl w:val="0"/>
          <w:numId w:val="1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Pri svakom preispitivanju upisuju se datum i povod u tablicu u nastavku.</w:t>
      </w:r>
    </w:p>
    <w:p>
      <w:pPr>
        <w:keepNext/>
        <w:spacing w:after="60" w:before="120"/>
        <w:jc w:val="both"/>
      </w:pPr>
      <w:r>
        <w:rPr>
          <w:rFonts w:ascii="Aptos" w:hAnsi="Aptos"/>
          <w:b/>
          <w:bCs/>
          <w:sz w:val="22"/>
          <w:szCs w:val="22"/>
        </w:rPr>
        <w:t xml:space="preserve">Zapis preispitivanja</w:t>
      </w:r>
    </w:p>
    <w:tbl>
      <w:tblPr>
        <w:tblStyle w:val="GridTable3-Accent2"/>
        <w:tblW w:w="9600" w:type="dxa"/>
        <w:tblLayout w:type="fixed"/>
        <w:tblLook w:firstColumn="0" w:firstRow="1" w:lastColumn="0" w:lastRow="0" w:noHBand="0" w:noVBand="1" w:val="04A0"/>
      </w:tblPr>
      <w:tblGrid>
        <w:gridCol w:w="1300"/>
        <w:gridCol w:w="3300"/>
        <w:gridCol w:w="3700"/>
        <w:gridCol w:w="1300"/>
      </w:tblGrid>
      <w:tr>
        <w:trPr>
          <w:cantSplit/>
          <w:tblHeader/>
        </w:trPr>
        <w:tc>
          <w:tcPr>
            <w:tcW w:type="dxa" w:w="13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Datum</w:t>
            </w:r>
          </w:p>
        </w:tc>
        <w:tc>
          <w:tcPr>
            <w:tcW w:type="dxa" w:w="33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Povod</w:t>
            </w:r>
          </w:p>
        </w:tc>
        <w:tc>
          <w:tcPr>
            <w:tcW w:type="dxa" w:w="37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Rezultat</w:t>
            </w:r>
          </w:p>
        </w:tc>
        <w:tc>
          <w:tcPr>
            <w:tcW w:type="dxa" w:w="13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Proveo</w:t>
            </w:r>
          </w:p>
        </w:tc>
      </w:tr>
      <w:tr>
        <w:trPr>
          <w:cantSplit/>
        </w:trPr>
        <w:tc>
          <w:tcPr>
            <w:tcW w:type="dxa" w:w="1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10.11.2025.</w:t>
            </w:r>
          </w:p>
        </w:tc>
        <w:tc>
          <w:tcPr>
            <w:tcW w:type="dxa" w:w="3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Uspostava IMS-a</w:t>
            </w:r>
          </w:p>
        </w:tc>
        <w:tc>
          <w:tcPr>
            <w:tcW w:type="dxa" w:w="3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Izrađena matrica v1.0</w:t>
            </w:r>
          </w:p>
        </w:tc>
        <w:tc>
          <w:tcPr>
            <w:tcW w:type="dxa" w:w="1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MR</w:t>
            </w:r>
          </w:p>
        </w:tc>
      </w:tr>
      <w:tr>
        <w:trPr>
          <w:cantSplit/>
        </w:trPr>
        <w:tc>
          <w:tcPr>
            <w:tcW w:type="dxa" w:w="1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25.09.2026.</w:t>
            </w:r>
          </w:p>
        </w:tc>
        <w:tc>
          <w:tcPr>
            <w:tcW w:type="dxa" w:w="3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Zapažanje DNV RENRAJ-0004; preuzimanje projekta DV Pčelica</w:t>
            </w:r>
          </w:p>
        </w:tc>
        <w:tc>
          <w:tcPr>
            <w:tcW w:type="dxa" w:w="37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Objedinjene evidencije aspekata; ujednačena metodologija; 22 aspekta, od toga 11 značajnih</w:t>
            </w:r>
          </w:p>
        </w:tc>
        <w:tc>
          <w:tcPr>
            <w:tcW w:type="dxa" w:w="1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HSE referent i MR</w:t>
            </w:r>
          </w:p>
        </w:tc>
      </w:tr>
    </w:tbl>
    <w:p>
      <w:pPr>
        <w:keepNext/>
        <w:spacing w:after="60" w:before="160"/>
        <w:jc w:val="both"/>
      </w:pPr>
      <w:r>
        <w:rPr>
          <w:rFonts w:ascii="Aptos" w:hAnsi="Aptos"/>
          <w:b/>
          <w:bCs/>
          <w:sz w:val="22"/>
          <w:szCs w:val="22"/>
        </w:rPr>
        <w:t xml:space="preserve">Odobrenje</w:t>
      </w:r>
    </w:p>
    <w:tbl>
      <w:tblPr>
        <w:tblStyle w:val="GridTable3-Accent2"/>
        <w:tblW w:w="9600" w:type="dxa"/>
        <w:tblLayout w:type="fixed"/>
        <w:tblLook w:firstColumn="0" w:firstRow="1" w:lastColumn="0" w:lastRow="0" w:noHBand="0" w:noVBand="1" w:val="04A0"/>
      </w:tblPr>
      <w:tblGrid>
        <w:gridCol w:w="3300"/>
        <w:gridCol w:w="2900"/>
        <w:gridCol w:w="2200"/>
        <w:gridCol w:w="1200"/>
      </w:tblGrid>
      <w:tr>
        <w:trPr>
          <w:cantSplit/>
          <w:tblHeader/>
        </w:trPr>
        <w:tc>
          <w:tcPr>
            <w:tcW w:type="dxa" w:w="33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Uloga</w:t>
            </w:r>
          </w:p>
        </w:tc>
        <w:tc>
          <w:tcPr>
            <w:tcW w:type="dxa" w:w="29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Ime i prezime</w:t>
            </w:r>
          </w:p>
        </w:tc>
        <w:tc>
          <w:tcPr>
            <w:tcW w:type="dxa" w:w="22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Potpis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Datum</w:t>
            </w:r>
          </w:p>
        </w:tc>
      </w:tr>
      <w:tr>
        <w:trPr>
          <w:cantSplit/>
        </w:trPr>
        <w:tc>
          <w:tcPr>
            <w:tcW w:type="dxa" w:w="3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Izradio: HSE referent</w:t>
            </w:r>
          </w:p>
        </w:tc>
        <w:tc>
          <w:tcPr>
            <w:tcW w:type="dxa" w:w="2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Krešimir Peša, dipl. ing.</w:t>
            </w:r>
          </w:p>
        </w:tc>
        <w:tc>
          <w:tcPr>
            <w:tcW w:type="dxa" w:w="2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Pregledao: Predstavnik uprave (MR)</w:t>
            </w:r>
          </w:p>
        </w:tc>
        <w:tc>
          <w:tcPr>
            <w:tcW w:type="dxa" w:w="2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Rinalda Kalmeta</w:t>
            </w:r>
          </w:p>
        </w:tc>
        <w:tc>
          <w:tcPr>
            <w:tcW w:type="dxa" w:w="2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Odobrio: Direktor</w:t>
            </w:r>
          </w:p>
        </w:tc>
        <w:tc>
          <w:tcPr>
            <w:tcW w:type="dxa" w:w="2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Ivan Mažer</w:t>
            </w:r>
          </w:p>
        </w:tc>
        <w:tc>
          <w:tcPr>
            <w:tcW w:type="dxa" w:w="2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/>
            </w:r>
          </w:p>
        </w:tc>
      </w:tr>
    </w:tbl>
    <w:sectPr w:rsidR="00590B56" w:rsidRPr="009F11B7" w:rsidSect="009B43E8">
      <w:headerReference w:type="default" r:id="rId12"/>
      <w:footerReference w:type="default" r:id="rId13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51AC3" w14:textId="77777777" w:rsidR="004207BE" w:rsidRDefault="004207BE" w:rsidP="00E637EC">
      <w:pPr>
        <w:spacing w:after="0" w:line="240" w:lineRule="auto"/>
      </w:pPr>
      <w:r>
        <w:separator/>
      </w:r>
    </w:p>
  </w:endnote>
  <w:endnote w:type="continuationSeparator" w:id="0">
    <w:p w14:paraId="322245B0" w14:textId="77777777" w:rsidR="004207BE" w:rsidRDefault="004207BE" w:rsidP="00E63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913F" w14:textId="181C1A62" w:rsidR="00E637EC" w:rsidRDefault="002F141A" w:rsidP="00E637EC">
    <w:pPr>
      <w:pStyle w:val="Footer"/>
    </w:pPr>
    <w:r w:rsidRPr="00C02112"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7C62F04" wp14:editId="667A1105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7657FFD" w14:textId="77777777" w:rsidR="00E637EC" w:rsidRPr="00235234" w:rsidRDefault="00E637EC" w:rsidP="00E637EC">
                          <w:pPr>
                            <w:jc w:val="right"/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</w:pP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begin"/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instrText xml:space="preserve"> PAGE   \* MERGEFORMAT </w:instrText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separate"/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t>2</w:t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C62F04" id="Rectangle 40" o:spid="_x0000_s1026" style="position:absolute;margin-left:0;margin-top:-1.75pt;width:36pt;height:25.2pt;z-index:251659264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" fillcolor="#0e2841 [3215]" stroked="f" strokeweight="3pt">
              <v:textbox>
                <w:txbxContent>
                  <w:p w14:paraId="47657FFD" w14:textId="77777777" w:rsidR="00E637EC" w:rsidRPr="00235234" w:rsidRDefault="00E637EC" w:rsidP="00E637EC">
                    <w:pPr>
                      <w:jc w:val="right"/>
                      <w:rPr>
                        <w:color w:val="FFFFFF" w:themeColor="background1"/>
                        <w:sz w:val="20"/>
                        <w:szCs w:val="21"/>
                      </w:rPr>
                    </w:pP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begin"/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instrText xml:space="preserve"> PAGE   \* MERGEFORMAT </w:instrText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separate"/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t>2</w:t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E637EC" w:rsidRPr="00C02112">
      <w:rPr>
        <w:noProof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07910092" wp14:editId="591C3678">
              <wp:simplePos x="0" y="0"/>
              <wp:positionH relativeFrom="margin">
                <wp:posOffset>51910</wp:posOffset>
              </wp:positionH>
              <wp:positionV relativeFrom="bottomMargin">
                <wp:posOffset>-20279</wp:posOffset>
              </wp:positionV>
              <wp:extent cx="5943600" cy="403225"/>
              <wp:effectExtent l="0" t="0" r="5080" b="3175"/>
              <wp:wrapNone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403225"/>
                        <a:chOff x="0" y="0"/>
                        <a:chExt cx="5962650" cy="360139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2"/>
                          <a:ext cx="5411615" cy="3601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1752E4" w14:textId="60A17FD2" w:rsidR="001C7360" w:rsidRDefault="001C7360" w:rsidP="00E637EC">
                            <w:pPr>
                              <w:spacing w:after="0" w:line="240" w:lineRule="auto"/>
                              <w:jc w:val="center"/>
                              <w:rPr>
                                <w:smallCaps/>
                                <w:color w:val="0E2841" w:themeColor="text2"/>
                              </w:rPr>
                            </w:pPr>
                            <w:r>
                              <w:rPr>
                                <w:smallCaps/>
                                <w:color w:val="0E2841" w:themeColor="text2"/>
                              </w:rPr>
                              <w:fldChar w:fldCharType="begin"/>
                            </w:r>
                            <w:r>
                              <w:rPr>
                                <w:smallCaps/>
                                <w:color w:val="0E2841" w:themeColor="text2"/>
                              </w:rPr>
                              <w:instrText xml:space="preserve"> TITLE  \* MERGEFORMAT </w:instrText>
                            </w:r>
                            <w:r>
                              <w:rPr>
                                <w:smallCaps/>
                                <w:color w:val="0E2841" w:themeColor="text2"/>
                              </w:rPr>
                              <w:fldChar w:fldCharType="separate"/>
                            </w:r>
                            <w:r w:rsidR="00B23FAA">
                              <w:rPr>
                                <w:smallCaps/>
                                <w:color w:val="0E2841" w:themeColor="text2"/>
                              </w:rPr>
                              <w:t xml:space="preserve"/>
                            </w:r>
                            <w:r w:rsidR="00B23FAA">
                              <w:rPr>
                                <w:smallCaps/>
                                <w:color w:val="0E2841" w:themeColor="text2"/>
                              </w:rPr>
                              <w:t>Matrica aspekata i rizika okoliša</w:t>
                            </w:r>
                            <w:r>
                              <w:rPr>
                                <w:smallCaps/>
                                <w:color w:val="0E2841" w:themeColor="text2"/>
                              </w:rPr>
                              <w:fldChar w:fldCharType="end"/>
                            </w:r>
                          </w:p>
                          <w:p w14:paraId="2A847F59" w14:textId="4D0325BA" w:rsidR="00E637EC" w:rsidRPr="00C40BE8" w:rsidRDefault="001C7360" w:rsidP="00E637EC">
                            <w:pPr>
                              <w:spacing w:after="0" w:line="240" w:lineRule="auto"/>
                              <w:jc w:val="center"/>
                              <w:rPr>
                                <w:smallCaps/>
                                <w:color w:val="0E2841" w:themeColor="text2"/>
                              </w:rPr>
                            </w:pPr>
                            <w:r>
                              <w:rPr>
                                <w:smallCaps/>
                                <w:color w:val="0E2841" w:themeColor="text2"/>
                              </w:rPr>
                              <w:fldChar w:fldCharType="begin"/>
                            </w:r>
                            <w:r>
                              <w:rPr>
                                <w:smallCaps/>
                                <w:color w:val="0E2841" w:themeColor="text2"/>
                              </w:rPr>
                              <w:instrText xml:space="preserve"> DOCPROPERTY  Reference \* MERGEFORMAT </w:instrText>
                            </w:r>
                            <w:r>
                              <w:rPr>
                                <w:smallCaps/>
                                <w:color w:val="0E2841" w:themeColor="text2"/>
                              </w:rPr>
                              <w:fldChar w:fldCharType="separate"/>
                            </w:r>
                            <w:r>
                              <w:rPr>
                                <w:smallCaps/>
                                <w:color w:val="0E2841" w:themeColor="text2"/>
                              </w:rPr>
                              <w:t xml:space="preserve">v1.1</w:t>
                            </w:r>
                            <w:r>
                              <w:rPr>
                                <w:smallCaps/>
                                <w:color w:val="0E2841" w:themeColor="text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7910092" id="Group 37" o:spid="_x0000_s1027" style="position:absolute;margin-left:4.1pt;margin-top:-1.6pt;width:468pt;height:31.75pt;z-index:251660288;mso-width-percent:1000;mso-wrap-distance-left:0;mso-wrap-distance-right:0;mso-position-horizontal-relative:margin;mso-position-vertical-relative:bottom-margin-area;mso-width-percent:1000;mso-width-relative:margin;mso-height-relative:margin" coordsize="59626,36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&#13;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" fillcolor="#0e2841 [3215]" stroked="f" strokeweight="1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width:54116;height:3601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" filled="f" stroked="f" strokeweight=".5pt">
                <v:textbox inset=",,,0">
                  <w:txbxContent>
                    <w:p w14:paraId="091752E4" w14:textId="60A17FD2" w:rsidR="001C7360" w:rsidRDefault="001C7360" w:rsidP="00E637EC">
                      <w:pPr>
                        <w:spacing w:after="0" w:line="240" w:lineRule="auto"/>
                        <w:jc w:val="center"/>
                        <w:rPr>
                          <w:smallCaps/>
                          <w:color w:val="0E2841" w:themeColor="text2"/>
                        </w:rPr>
                      </w:pPr>
                      <w:r>
                        <w:rPr>
                          <w:smallCaps/>
                          <w:color w:val="0E2841" w:themeColor="text2"/>
                        </w:rPr>
                        <w:fldChar w:fldCharType="begin"/>
                      </w:r>
                      <w:r>
                        <w:rPr>
                          <w:smallCaps/>
                          <w:color w:val="0E2841" w:themeColor="text2"/>
                        </w:rPr>
                        <w:instrText xml:space="preserve"> TITLE  \* MERGEFORMAT </w:instrText>
                      </w:r>
                      <w:r>
                        <w:rPr>
                          <w:smallCaps/>
                          <w:color w:val="0E2841" w:themeColor="text2"/>
                        </w:rPr>
                        <w:fldChar w:fldCharType="separate"/>
                      </w:r>
                      <w:r w:rsidR="00B23FAA">
                        <w:rPr>
                          <w:smallCaps/>
                          <w:color w:val="0E2841" w:themeColor="text2"/>
                        </w:rPr>
                        <w:t xml:space="preserve"/>
                      </w:r>
                      <w:r w:rsidR="00B23FAA">
                        <w:rPr>
                          <w:smallCaps/>
                          <w:color w:val="0E2841" w:themeColor="text2"/>
                        </w:rPr>
                        <w:t>Matrica aspekata i rizika okoliša</w:t>
                      </w:r>
                      <w:r>
                        <w:rPr>
                          <w:smallCaps/>
                          <w:color w:val="0E2841" w:themeColor="text2"/>
                        </w:rPr>
                        <w:fldChar w:fldCharType="end"/>
                      </w:r>
                    </w:p>
                    <w:p w14:paraId="2A847F59" w14:textId="4D0325BA" w:rsidR="00E637EC" w:rsidRPr="00C40BE8" w:rsidRDefault="001C7360" w:rsidP="00E637EC">
                      <w:pPr>
                        <w:spacing w:after="0" w:line="240" w:lineRule="auto"/>
                        <w:jc w:val="center"/>
                        <w:rPr>
                          <w:smallCaps/>
                          <w:color w:val="0E2841" w:themeColor="text2"/>
                        </w:rPr>
                      </w:pPr>
                      <w:r>
                        <w:rPr>
                          <w:smallCaps/>
                          <w:color w:val="0E2841" w:themeColor="text2"/>
                        </w:rPr>
                        <w:fldChar w:fldCharType="begin"/>
                      </w:r>
                      <w:r>
                        <w:rPr>
                          <w:smallCaps/>
                          <w:color w:val="0E2841" w:themeColor="text2"/>
                        </w:rPr>
                        <w:instrText xml:space="preserve"> DOCPROPERTY  Reference \* MERGEFORMAT </w:instrText>
                      </w:r>
                      <w:r>
                        <w:rPr>
                          <w:smallCaps/>
                          <w:color w:val="0E2841" w:themeColor="text2"/>
                        </w:rPr>
                        <w:fldChar w:fldCharType="separate"/>
                      </w:r>
                      <w:r>
                        <w:rPr>
                          <w:smallCaps/>
                          <w:color w:val="0E2841" w:themeColor="text2"/>
                        </w:rPr>
                        <w:t xml:space="preserve">v1.1</w:t>
                      </w:r>
                      <w:r>
                        <w:rPr>
                          <w:smallCaps/>
                          <w:color w:val="0E2841" w:themeColor="text2"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6C235" w14:textId="77777777" w:rsidR="00495CA4" w:rsidRDefault="00495CA4" w:rsidP="00E637EC">
    <w:pPr>
      <w:pStyle w:val="Footer"/>
    </w:pPr>
    <w:r w:rsidRPr="00C02112"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0D5196A" wp14:editId="5A3CA6C9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241235216" name="Rectangle 2412352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62B29D5" w14:textId="77777777" w:rsidR="00495CA4" w:rsidRPr="00235234" w:rsidRDefault="00495CA4" w:rsidP="00E637EC">
                          <w:pPr>
                            <w:jc w:val="right"/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</w:pP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begin"/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instrText xml:space="preserve"> PAGE   \* MERGEFORMAT </w:instrText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separate"/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t>2</w:t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D5196A" id="Rectangle 241235216" o:spid="_x0000_s1030" style="position:absolute;margin-left:0;margin-top:-1.75pt;width:36pt;height:25.2pt;z-index:25166233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" fillcolor="#0e2841 [3215]" stroked="f" strokeweight="3pt">
              <v:textbox>
                <w:txbxContent>
                  <w:p w14:paraId="262B29D5" w14:textId="77777777" w:rsidR="00495CA4" w:rsidRPr="00235234" w:rsidRDefault="00495CA4" w:rsidP="00E637EC">
                    <w:pPr>
                      <w:jc w:val="right"/>
                      <w:rPr>
                        <w:color w:val="FFFFFF" w:themeColor="background1"/>
                        <w:sz w:val="20"/>
                        <w:szCs w:val="21"/>
                      </w:rPr>
                    </w:pP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begin"/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instrText xml:space="preserve"> PAGE   \* MERGEFORMAT </w:instrText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separate"/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t>2</w:t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C02112">
      <w:rPr>
        <w:noProof/>
      </w:rPr>
      <mc:AlternateContent>
        <mc:Choice Requires="wpg">
          <w:drawing>
            <wp:anchor distT="0" distB="0" distL="0" distR="0" simplePos="0" relativeHeight="251663360" behindDoc="0" locked="0" layoutInCell="1" allowOverlap="1" wp14:anchorId="63D75E76" wp14:editId="584FAEDB">
              <wp:simplePos x="0" y="0"/>
              <wp:positionH relativeFrom="margin">
                <wp:posOffset>51910</wp:posOffset>
              </wp:positionH>
              <wp:positionV relativeFrom="bottomMargin">
                <wp:posOffset>-20279</wp:posOffset>
              </wp:positionV>
              <wp:extent cx="5943600" cy="403225"/>
              <wp:effectExtent l="0" t="0" r="5080" b="3175"/>
              <wp:wrapNone/>
              <wp:docPr id="782302021" name="Group 7823020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403225"/>
                        <a:chOff x="0" y="0"/>
                        <a:chExt cx="5962650" cy="360139"/>
                      </a:xfrm>
                    </wpg:grpSpPr>
                    <wps:wsp>
                      <wps:cNvPr id="524822477" name="Rectangle 524822477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89995688" name="Text Box 1889995688"/>
                      <wps:cNvSpPr txBox="1"/>
                      <wps:spPr>
                        <a:xfrm>
                          <a:off x="0" y="2"/>
                          <a:ext cx="5411615" cy="3601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ADB8CC" w14:textId="2FBCCDEF" w:rsidR="00495CA4" w:rsidRDefault="00495CA4" w:rsidP="00E637EC">
                            <w:pPr>
                              <w:spacing w:after="0" w:line="240" w:lineRule="auto"/>
                              <w:jc w:val="center"/>
                              <w:rPr>
                                <w:smallCaps/>
                                <w:color w:val="0E2841" w:themeColor="text2"/>
                              </w:rPr>
                            </w:pPr>
                            <w:r>
                              <w:rPr>
                                <w:smallCaps/>
                                <w:color w:val="0E2841" w:themeColor="text2"/>
                              </w:rPr>
                              <w:fldChar w:fldCharType="begin"/>
                            </w:r>
                            <w:r>
                              <w:rPr>
                                <w:smallCaps/>
                                <w:color w:val="0E2841" w:themeColor="text2"/>
                              </w:rPr>
                              <w:instrText xml:space="preserve"> TITLE  \* MERGEFORMAT </w:instrText>
                            </w:r>
                            <w:r>
                              <w:rPr>
                                <w:smallCaps/>
                                <w:color w:val="0E2841" w:themeColor="text2"/>
                              </w:rPr>
                              <w:fldChar w:fldCharType="separate"/>
                            </w:r>
                            <w:r w:rsidR="00B23FAA">
                              <w:rPr>
                                <w:smallCaps/>
                                <w:color w:val="0E2841" w:themeColor="text2"/>
                              </w:rPr>
                              <w:t xml:space="preserve"/>
                            </w:r>
                            <w:r w:rsidR="00B23FAA">
                              <w:rPr>
                                <w:smallCaps/>
                                <w:color w:val="0E2841" w:themeColor="text2"/>
                              </w:rPr>
                              <w:t>Matrica aspekata i rizika okoliša</w:t>
                            </w:r>
                            <w:r>
                              <w:rPr>
                                <w:smallCaps/>
                                <w:color w:val="0E2841" w:themeColor="text2"/>
                              </w:rPr>
                              <w:fldChar w:fldCharType="end"/>
                            </w:r>
                          </w:p>
                          <w:p w14:paraId="22970F80" w14:textId="77777777" w:rsidR="00495CA4" w:rsidRPr="00C40BE8" w:rsidRDefault="00495CA4" w:rsidP="00E637EC">
                            <w:pPr>
                              <w:spacing w:after="0" w:line="240" w:lineRule="auto"/>
                              <w:jc w:val="center"/>
                              <w:rPr>
                                <w:smallCaps/>
                                <w:color w:val="0E2841" w:themeColor="text2"/>
                              </w:rPr>
                            </w:pPr>
                            <w:r>
                              <w:rPr>
                                <w:smallCaps/>
                                <w:color w:val="0E2841" w:themeColor="text2"/>
                              </w:rPr>
                              <w:fldChar w:fldCharType="begin"/>
                            </w:r>
                            <w:r>
                              <w:rPr>
                                <w:smallCaps/>
                                <w:color w:val="0E2841" w:themeColor="text2"/>
                              </w:rPr>
                              <w:instrText xml:space="preserve"> DOCPROPERTY  Reference \* MERGEFORMAT </w:instrText>
                            </w:r>
                            <w:r>
                              <w:rPr>
                                <w:smallCaps/>
                                <w:color w:val="0E2841" w:themeColor="text2"/>
                              </w:rPr>
                              <w:fldChar w:fldCharType="separate"/>
                            </w:r>
                            <w:r>
                              <w:rPr>
                                <w:smallCaps/>
                                <w:color w:val="0E2841" w:themeColor="text2"/>
                              </w:rPr>
                              <w:t xml:space="preserve">v1.1</w:t>
                            </w:r>
                            <w:r>
                              <w:rPr>
                                <w:smallCaps/>
                                <w:color w:val="0E2841" w:themeColor="text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3D75E76" id="Group 782302021" o:spid="_x0000_s1031" style="position:absolute;margin-left:4.1pt;margin-top:-1.6pt;width:468pt;height:31.75pt;z-index:251663360;mso-width-percent:1000;mso-wrap-distance-left:0;mso-wrap-distance-right:0;mso-position-horizontal-relative:margin;mso-position-vertical-relative:bottom-margin-area;mso-width-percent:1000;mso-width-relative:margin;mso-height-relative:margin" coordsize="59626,36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">
              <v:rect id="Rectangle 524822477" o:spid="_x0000_s1032" style="position:absolute;left:190;width:59436;height:1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" fillcolor="#0e2841 [3215]" stroked="f" strokeweight="1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89995688" o:spid="_x0000_s1033" type="#_x0000_t202" style="position:absolute;width:54116;height:3601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" filled="f" stroked="f" strokeweight=".5pt">
                <v:textbox inset=",,,0">
                  <w:txbxContent>
                    <w:p w14:paraId="0BADB8CC" w14:textId="2FBCCDEF" w:rsidR="00495CA4" w:rsidRDefault="00495CA4" w:rsidP="00E637EC">
                      <w:pPr>
                        <w:spacing w:after="0" w:line="240" w:lineRule="auto"/>
                        <w:jc w:val="center"/>
                        <w:rPr>
                          <w:smallCaps/>
                          <w:color w:val="0E2841" w:themeColor="text2"/>
                        </w:rPr>
                      </w:pPr>
                      <w:r>
                        <w:rPr>
                          <w:smallCaps/>
                          <w:color w:val="0E2841" w:themeColor="text2"/>
                        </w:rPr>
                        <w:fldChar w:fldCharType="begin"/>
                      </w:r>
                      <w:r>
                        <w:rPr>
                          <w:smallCaps/>
                          <w:color w:val="0E2841" w:themeColor="text2"/>
                        </w:rPr>
                        <w:instrText xml:space="preserve"> TITLE  \* MERGEFORMAT </w:instrText>
                      </w:r>
                      <w:r>
                        <w:rPr>
                          <w:smallCaps/>
                          <w:color w:val="0E2841" w:themeColor="text2"/>
                        </w:rPr>
                        <w:fldChar w:fldCharType="separate"/>
                      </w:r>
                      <w:r w:rsidR="00B23FAA">
                        <w:rPr>
                          <w:smallCaps/>
                          <w:color w:val="0E2841" w:themeColor="text2"/>
                        </w:rPr>
                        <w:t xml:space="preserve"/>
                      </w:r>
                      <w:r w:rsidR="00B23FAA">
                        <w:rPr>
                          <w:smallCaps/>
                          <w:color w:val="0E2841" w:themeColor="text2"/>
                        </w:rPr>
                        <w:t>Matrica aspekata i rizika okoliša</w:t>
                      </w:r>
                      <w:r>
                        <w:rPr>
                          <w:smallCaps/>
                          <w:color w:val="0E2841" w:themeColor="text2"/>
                        </w:rPr>
                        <w:fldChar w:fldCharType="end"/>
                      </w:r>
                    </w:p>
                    <w:p w14:paraId="22970F80" w14:textId="77777777" w:rsidR="00495CA4" w:rsidRPr="00C40BE8" w:rsidRDefault="00495CA4" w:rsidP="00E637EC">
                      <w:pPr>
                        <w:spacing w:after="0" w:line="240" w:lineRule="auto"/>
                        <w:jc w:val="center"/>
                        <w:rPr>
                          <w:smallCaps/>
                          <w:color w:val="0E2841" w:themeColor="text2"/>
                        </w:rPr>
                      </w:pPr>
                      <w:r>
                        <w:rPr>
                          <w:smallCaps/>
                          <w:color w:val="0E2841" w:themeColor="text2"/>
                        </w:rPr>
                        <w:fldChar w:fldCharType="begin"/>
                      </w:r>
                      <w:r>
                        <w:rPr>
                          <w:smallCaps/>
                          <w:color w:val="0E2841" w:themeColor="text2"/>
                        </w:rPr>
                        <w:instrText xml:space="preserve"> DOCPROPERTY  Reference \* MERGEFORMAT </w:instrText>
                      </w:r>
                      <w:r>
                        <w:rPr>
                          <w:smallCaps/>
                          <w:color w:val="0E2841" w:themeColor="text2"/>
                        </w:rPr>
                        <w:fldChar w:fldCharType="separate"/>
                      </w:r>
                      <w:r>
                        <w:rPr>
                          <w:smallCaps/>
                          <w:color w:val="0E2841" w:themeColor="text2"/>
                        </w:rPr>
                        <w:t xml:space="preserve">v1.1</w:t>
                      </w:r>
                      <w:r>
                        <w:rPr>
                          <w:smallCaps/>
                          <w:color w:val="0E2841" w:themeColor="text2"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ED74F" w14:textId="77777777" w:rsidR="00495CA4" w:rsidRDefault="00495CA4" w:rsidP="00E637EC">
    <w:pPr>
      <w:pStyle w:val="Footer"/>
    </w:pPr>
    <w:r w:rsidRPr="00C02112"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926B2E2" wp14:editId="0CA9895B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136551904" name="Rectangle 1365519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FDDB3E1" w14:textId="77777777" w:rsidR="00495CA4" w:rsidRPr="00235234" w:rsidRDefault="00495CA4" w:rsidP="00E637EC">
                          <w:pPr>
                            <w:jc w:val="right"/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</w:pP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begin"/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instrText xml:space="preserve"> PAGE   \* MERGEFORMAT </w:instrText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separate"/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t>2</w:t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26B2E2" id="Rectangle 136551904" o:spid="_x0000_s1034" style="position:absolute;margin-left:0;margin-top:-1.75pt;width:36pt;height:25.2pt;z-index:251665408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" fillcolor="#0e2841 [3215]" stroked="f" strokeweight="3pt">
              <v:textbox>
                <w:txbxContent>
                  <w:p w14:paraId="1FDDB3E1" w14:textId="77777777" w:rsidR="00495CA4" w:rsidRPr="00235234" w:rsidRDefault="00495CA4" w:rsidP="00E637EC">
                    <w:pPr>
                      <w:jc w:val="right"/>
                      <w:rPr>
                        <w:color w:val="FFFFFF" w:themeColor="background1"/>
                        <w:sz w:val="20"/>
                        <w:szCs w:val="21"/>
                      </w:rPr>
                    </w:pP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begin"/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instrText xml:space="preserve"> PAGE   \* MERGEFORMAT </w:instrText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separate"/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t>2</w:t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C02112">
      <w:rPr>
        <w:noProof/>
      </w:rPr>
      <mc:AlternateContent>
        <mc:Choice Requires="wpg">
          <w:drawing>
            <wp:anchor distT="0" distB="0" distL="0" distR="0" simplePos="0" relativeHeight="251666432" behindDoc="0" locked="0" layoutInCell="1" allowOverlap="1" wp14:anchorId="5F072832" wp14:editId="309DF296">
              <wp:simplePos x="0" y="0"/>
              <wp:positionH relativeFrom="margin">
                <wp:posOffset>51910</wp:posOffset>
              </wp:positionH>
              <wp:positionV relativeFrom="bottomMargin">
                <wp:posOffset>-20279</wp:posOffset>
              </wp:positionV>
              <wp:extent cx="5943600" cy="403225"/>
              <wp:effectExtent l="0" t="0" r="5080" b="3175"/>
              <wp:wrapNone/>
              <wp:docPr id="144916600" name="Group 144916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403225"/>
                        <a:chOff x="0" y="0"/>
                        <a:chExt cx="5962650" cy="360139"/>
                      </a:xfrm>
                    </wpg:grpSpPr>
                    <wps:wsp>
                      <wps:cNvPr id="1551983142" name="Rectangle 1551983142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4253945" name="Text Box 464253945"/>
                      <wps:cNvSpPr txBox="1"/>
                      <wps:spPr>
                        <a:xfrm>
                          <a:off x="0" y="2"/>
                          <a:ext cx="5411615" cy="3601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0999C9" w14:textId="6D1EAAF3" w:rsidR="00495CA4" w:rsidRDefault="00495CA4" w:rsidP="00E637EC">
                            <w:pPr>
                              <w:spacing w:after="0" w:line="240" w:lineRule="auto"/>
                              <w:jc w:val="center"/>
                              <w:rPr>
                                <w:smallCaps/>
                                <w:color w:val="0E2841" w:themeColor="text2"/>
                              </w:rPr>
                            </w:pPr>
                            <w:r>
                              <w:rPr>
                                <w:smallCaps/>
                                <w:color w:val="0E2841" w:themeColor="text2"/>
                              </w:rPr>
                              <w:fldChar w:fldCharType="begin"/>
                            </w:r>
                            <w:r>
                              <w:rPr>
                                <w:smallCaps/>
                                <w:color w:val="0E2841" w:themeColor="text2"/>
                              </w:rPr>
                              <w:instrText xml:space="preserve"> TITLE  \* MERGEFORMAT </w:instrText>
                            </w:r>
                            <w:r>
                              <w:rPr>
                                <w:smallCaps/>
                                <w:color w:val="0E2841" w:themeColor="text2"/>
                              </w:rPr>
                              <w:fldChar w:fldCharType="separate"/>
                            </w:r>
                            <w:r w:rsidR="00B23FAA">
                              <w:rPr>
                                <w:smallCaps/>
                                <w:color w:val="0E2841" w:themeColor="text2"/>
                              </w:rPr>
                              <w:t xml:space="preserve"/>
                            </w:r>
                            <w:r w:rsidR="00B23FAA">
                              <w:rPr>
                                <w:smallCaps/>
                                <w:color w:val="0E2841" w:themeColor="text2"/>
                              </w:rPr>
                              <w:t>Matrica aspekata i rizika okoliša</w:t>
                            </w:r>
                            <w:r>
                              <w:rPr>
                                <w:smallCaps/>
                                <w:color w:val="0E2841" w:themeColor="text2"/>
                              </w:rPr>
                              <w:fldChar w:fldCharType="end"/>
                            </w:r>
                          </w:p>
                          <w:p w14:paraId="715D6B2A" w14:textId="77777777" w:rsidR="00495CA4" w:rsidRPr="00C40BE8" w:rsidRDefault="00495CA4" w:rsidP="00E637EC">
                            <w:pPr>
                              <w:spacing w:after="0" w:line="240" w:lineRule="auto"/>
                              <w:jc w:val="center"/>
                              <w:rPr>
                                <w:smallCaps/>
                                <w:color w:val="0E2841" w:themeColor="text2"/>
                              </w:rPr>
                            </w:pPr>
                            <w:r>
                              <w:rPr>
                                <w:smallCaps/>
                                <w:color w:val="0E2841" w:themeColor="text2"/>
                              </w:rPr>
                              <w:fldChar w:fldCharType="begin"/>
                            </w:r>
                            <w:r>
                              <w:rPr>
                                <w:smallCaps/>
                                <w:color w:val="0E2841" w:themeColor="text2"/>
                              </w:rPr>
                              <w:instrText xml:space="preserve"> DOCPROPERTY  Reference \* MERGEFORMAT </w:instrText>
                            </w:r>
                            <w:r>
                              <w:rPr>
                                <w:smallCaps/>
                                <w:color w:val="0E2841" w:themeColor="text2"/>
                              </w:rPr>
                              <w:fldChar w:fldCharType="separate"/>
                            </w:r>
                            <w:r>
                              <w:rPr>
                                <w:smallCaps/>
                                <w:color w:val="0E2841" w:themeColor="text2"/>
                              </w:rPr>
                              <w:t xml:space="preserve">v1.1</w:t>
                            </w:r>
                            <w:r>
                              <w:rPr>
                                <w:smallCaps/>
                                <w:color w:val="0E2841" w:themeColor="text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072832" id="Group 144916600" o:spid="_x0000_s1035" style="position:absolute;margin-left:4.1pt;margin-top:-1.6pt;width:468pt;height:31.75pt;z-index:251666432;mso-width-percent:1000;mso-wrap-distance-left:0;mso-wrap-distance-right:0;mso-position-horizontal-relative:margin;mso-position-vertical-relative:bottom-margin-area;mso-width-percent:1000;mso-width-relative:margin;mso-height-relative:margin" coordsize="59626,36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">
              <v:rect id="Rectangle 1551983142" o:spid="_x0000_s1036" style="position:absolute;left:190;width:59436;height:1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" fillcolor="#0e2841 [3215]" stroked="f" strokeweight="1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4253945" o:spid="_x0000_s1037" type="#_x0000_t202" style="position:absolute;width:54116;height:3601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" filled="f" stroked="f" strokeweight=".5pt">
                <v:textbox inset=",,,0">
                  <w:txbxContent>
                    <w:p w14:paraId="1E0999C9" w14:textId="6D1EAAF3" w:rsidR="00495CA4" w:rsidRDefault="00495CA4" w:rsidP="00E637EC">
                      <w:pPr>
                        <w:spacing w:after="0" w:line="240" w:lineRule="auto"/>
                        <w:jc w:val="center"/>
                        <w:rPr>
                          <w:smallCaps/>
                          <w:color w:val="0E2841" w:themeColor="text2"/>
                        </w:rPr>
                      </w:pPr>
                      <w:r>
                        <w:rPr>
                          <w:smallCaps/>
                          <w:color w:val="0E2841" w:themeColor="text2"/>
                        </w:rPr>
                        <w:fldChar w:fldCharType="begin"/>
                      </w:r>
                      <w:r>
                        <w:rPr>
                          <w:smallCaps/>
                          <w:color w:val="0E2841" w:themeColor="text2"/>
                        </w:rPr>
                        <w:instrText xml:space="preserve"> TITLE  \* MERGEFORMAT </w:instrText>
                      </w:r>
                      <w:r>
                        <w:rPr>
                          <w:smallCaps/>
                          <w:color w:val="0E2841" w:themeColor="text2"/>
                        </w:rPr>
                        <w:fldChar w:fldCharType="separate"/>
                      </w:r>
                      <w:r w:rsidR="00B23FAA">
                        <w:rPr>
                          <w:smallCaps/>
                          <w:color w:val="0E2841" w:themeColor="text2"/>
                        </w:rPr>
                        <w:t xml:space="preserve"/>
                      </w:r>
                      <w:r w:rsidR="00B23FAA">
                        <w:rPr>
                          <w:smallCaps/>
                          <w:color w:val="0E2841" w:themeColor="text2"/>
                        </w:rPr>
                        <w:t>Matrica aspekata i rizika okoliša</w:t>
                      </w:r>
                      <w:r>
                        <w:rPr>
                          <w:smallCaps/>
                          <w:color w:val="0E2841" w:themeColor="text2"/>
                        </w:rPr>
                        <w:fldChar w:fldCharType="end"/>
                      </w:r>
                    </w:p>
                    <w:p w14:paraId="715D6B2A" w14:textId="77777777" w:rsidR="00495CA4" w:rsidRPr="00C40BE8" w:rsidRDefault="00495CA4" w:rsidP="00E637EC">
                      <w:pPr>
                        <w:spacing w:after="0" w:line="240" w:lineRule="auto"/>
                        <w:jc w:val="center"/>
                        <w:rPr>
                          <w:smallCaps/>
                          <w:color w:val="0E2841" w:themeColor="text2"/>
                        </w:rPr>
                      </w:pPr>
                      <w:r>
                        <w:rPr>
                          <w:smallCaps/>
                          <w:color w:val="0E2841" w:themeColor="text2"/>
                        </w:rPr>
                        <w:fldChar w:fldCharType="begin"/>
                      </w:r>
                      <w:r>
                        <w:rPr>
                          <w:smallCaps/>
                          <w:color w:val="0E2841" w:themeColor="text2"/>
                        </w:rPr>
                        <w:instrText xml:space="preserve"> DOCPROPERTY  Reference \* MERGEFORMAT </w:instrText>
                      </w:r>
                      <w:r>
                        <w:rPr>
                          <w:smallCaps/>
                          <w:color w:val="0E2841" w:themeColor="text2"/>
                        </w:rPr>
                        <w:fldChar w:fldCharType="separate"/>
                      </w:r>
                      <w:r>
                        <w:rPr>
                          <w:smallCaps/>
                          <w:color w:val="0E2841" w:themeColor="text2"/>
                        </w:rPr>
                        <w:t xml:space="preserve">v1.1</w:t>
                      </w:r>
                      <w:r>
                        <w:rPr>
                          <w:smallCaps/>
                          <w:color w:val="0E2841" w:themeColor="text2"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3ADB3" w14:textId="77777777" w:rsidR="004207BE" w:rsidRDefault="004207BE" w:rsidP="00E637EC">
      <w:pPr>
        <w:spacing w:after="0" w:line="240" w:lineRule="auto"/>
      </w:pPr>
      <w:r>
        <w:separator/>
      </w:r>
    </w:p>
  </w:footnote>
  <w:footnote w:type="continuationSeparator" w:id="0">
    <w:p w14:paraId="11854629" w14:textId="77777777" w:rsidR="004207BE" w:rsidRDefault="004207BE" w:rsidP="00E63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402"/>
      <w:gridCol w:w="2835"/>
    </w:tblGrid>
    <w:tr w:rsidR="00E637EC" w:rsidRPr="00032956" w14:paraId="16370B91" w14:textId="77777777" w:rsidTr="008E7651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52724937" w14:textId="77777777" w:rsidR="00E637EC" w:rsidRPr="00567495" w:rsidRDefault="00E637EC" w:rsidP="00E637EC">
          <w:pPr>
            <w:spacing w:after="0" w:line="240" w:lineRule="auto"/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168653E0" wp14:editId="3A4C664F">
                <wp:extent cx="1863233" cy="471354"/>
                <wp:effectExtent l="0" t="0" r="3810" b="0"/>
                <wp:docPr id="742219696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056F94BB" w14:textId="22643E4A" w:rsidR="00E637EC" w:rsidRPr="00032956" w:rsidRDefault="00A40914" w:rsidP="00E637EC">
          <w:pPr>
            <w:spacing w:after="0" w:line="240" w:lineRule="auto"/>
            <w:jc w:val="center"/>
            <w:rPr>
              <w:rFonts w:ascii="Aptos" w:hAnsi="Aptos"/>
              <w:b/>
              <w:iCs/>
              <w:sz w:val="32"/>
            </w:rPr>
          </w:pPr>
          <w:r>
            <w:rPr>
              <w:rFonts w:ascii="Aptos" w:hAnsi="Aptos"/>
              <w:b/>
              <w:iCs/>
              <w:szCs w:val="20"/>
            </w:rPr>
            <w:fldChar w:fldCharType="begin"/>
          </w:r>
          <w:r>
            <w:rPr>
              <w:rFonts w:ascii="Aptos" w:hAnsi="Aptos"/>
              <w:b/>
              <w:iCs/>
              <w:szCs w:val="20"/>
            </w:rPr>
            <w:instrText xml:space="preserve"> TITLE  \* MERGEFORMAT </w:instrText>
          </w:r>
          <w:r>
            <w:rPr>
              <w:rFonts w:ascii="Aptos" w:hAnsi="Aptos"/>
              <w:b/>
              <w:iCs/>
              <w:szCs w:val="20"/>
            </w:rPr>
            <w:fldChar w:fldCharType="separate"/>
          </w:r>
          <w:r w:rsidR="00C155B7">
            <w:rPr>
              <w:rFonts w:ascii="Aptos" w:hAnsi="Aptos"/>
              <w:b/>
              <w:iCs/>
              <w:szCs w:val="20"/>
            </w:rPr>
            <w:t xml:space="preserve"/>
          </w:r>
          <w:r w:rsidR="00C155B7">
            <w:rPr>
              <w:rFonts w:ascii="Aptos" w:hAnsi="Aptos"/>
              <w:b/>
              <w:iCs/>
              <w:szCs w:val="20"/>
            </w:rPr>
            <w:t>Matrica aspekata i rizika okoliša</w:t>
          </w:r>
          <w:r>
            <w:rPr>
              <w:rFonts w:ascii="Aptos" w:hAnsi="Aptos"/>
              <w:b/>
              <w:iCs/>
              <w:szCs w:val="20"/>
            </w:rPr>
            <w:fldChar w:fldCharType="end"/>
          </w:r>
        </w:p>
      </w:tc>
      <w:tc>
        <w:tcPr>
          <w:tcW w:w="2835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75DB88FD" w14:textId="3B86C9E2" w:rsidR="008E7651" w:rsidRPr="008E7651" w:rsidRDefault="008E7651" w:rsidP="00A4137A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 xml:space="preserve">Oznaka dokumenta: </w:t>
          </w:r>
          <w:r w:rsidR="00A40914">
            <w:rPr>
              <w:rFonts w:ascii="Aptos" w:hAnsi="Aptos"/>
              <w:b/>
              <w:bCs/>
              <w:sz w:val="18"/>
              <w:szCs w:val="18"/>
            </w:rPr>
            <w:fldChar w:fldCharType="begin"/>
          </w:r>
          <w:r w:rsidR="00A40914">
            <w:rPr>
              <w:rFonts w:ascii="Aptos" w:hAnsi="Aptos"/>
              <w:b/>
              <w:bCs/>
              <w:sz w:val="18"/>
              <w:szCs w:val="18"/>
            </w:rPr>
            <w:instrText xml:space="preserve"> KEYWORDS  \* MERGEFORMAT </w:instrText>
          </w:r>
          <w:r w:rsidR="00A40914">
            <w:rPr>
              <w:rFonts w:ascii="Aptos" w:hAnsi="Aptos"/>
              <w:b/>
              <w:bCs/>
              <w:sz w:val="18"/>
              <w:szCs w:val="18"/>
            </w:rPr>
            <w:fldChar w:fldCharType="separate"/>
          </w:r>
          <w:r w:rsidR="00B23FAA">
            <w:rPr>
              <w:rFonts w:ascii="Aptos" w:hAnsi="Aptos"/>
              <w:b/>
              <w:bCs/>
              <w:sz w:val="18"/>
              <w:szCs w:val="18"/>
            </w:rPr>
            <w:t>AO-IMS-01</w:t>
          </w:r>
          <w:r w:rsidR="00A40914">
            <w:rPr>
              <w:rFonts w:ascii="Aptos" w:hAnsi="Aptos"/>
              <w:b/>
              <w:bCs/>
              <w:sz w:val="18"/>
              <w:szCs w:val="18"/>
            </w:rPr>
            <w:fldChar w:fldCharType="end"/>
          </w:r>
        </w:p>
        <w:p w14:paraId="24A983EE" w14:textId="51CB0DC1" w:rsidR="00087A0B" w:rsidRPr="008E7651" w:rsidRDefault="00E637EC" w:rsidP="00A4137A">
          <w:pPr>
            <w:spacing w:after="0" w:line="240" w:lineRule="auto"/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</w:t>
          </w:r>
          <w:r w:rsidRPr="008E7651">
            <w:rPr>
              <w:rFonts w:ascii="Aptos" w:hAnsi="Aptos"/>
              <w:snapToGrid w:val="0"/>
              <w:sz w:val="18"/>
              <w:szCs w:val="18"/>
            </w:rPr>
            <w:t xml:space="preserve">   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PAGE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1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/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NUMPAGES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2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</w:p>
      </w:tc>
    </w:tr>
    <w:tr w:rsidR="00E637EC" w:rsidRPr="00032956" w14:paraId="1DDFE4F1" w14:textId="77777777" w:rsidTr="008E7651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58C385CD" w14:textId="77777777" w:rsidR="00E637EC" w:rsidRDefault="00E637EC" w:rsidP="00E637EC">
          <w:pPr>
            <w:spacing w:after="0" w:line="240" w:lineRule="auto"/>
            <w:jc w:val="center"/>
          </w:pPr>
        </w:p>
      </w:tc>
      <w:tc>
        <w:tcPr>
          <w:tcW w:w="3402" w:type="dxa"/>
          <w:vMerge/>
          <w:tcBorders>
            <w:top w:val="nil"/>
            <w:bottom w:val="single" w:sz="12" w:space="0" w:color="auto"/>
          </w:tcBorders>
          <w:vAlign w:val="center"/>
        </w:tcPr>
        <w:p w14:paraId="5FF0F84A" w14:textId="77777777" w:rsidR="00E637EC" w:rsidRPr="00032956" w:rsidRDefault="00E637EC" w:rsidP="00E637EC">
          <w:pPr>
            <w:spacing w:after="0" w:line="240" w:lineRule="auto"/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2835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A722186" w14:textId="77777777" w:rsidR="00E637EC" w:rsidRPr="008E7651" w:rsidRDefault="00E637EC" w:rsidP="00A4137A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477CE812" w14:textId="4CE7FACD" w:rsidR="00E637EC" w:rsidRPr="009244D4" w:rsidRDefault="009244D4" w:rsidP="009244D4">
          <w:pPr>
            <w:spacing w:after="60" w:line="240" w:lineRule="auto"/>
            <w:jc w:val="center"/>
            <w:rPr>
              <w:rFonts w:ascii="Aptos" w:eastAsia="Times New Roman" w:hAnsi="Aptos" w:cs="Times New Roman"/>
              <w:kern w:val="0"/>
              <w14:ligatures w14:val="none"/>
            </w:rPr>
          </w:pP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fldChar w:fldCharType="begin"/>
          </w: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instrText xml:space="preserve"> DOCPROPERTY Reference \* MERGEFORMAT </w:instrText>
          </w: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fldChar w:fldCharType="separate"/>
          </w: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t xml:space="preserve">v1.1</w:t>
          </w: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fldChar w:fldCharType="end"/>
          </w:r>
          <w:r w:rsidR="00720A4F">
            <w:rPr>
              <w:rFonts w:ascii="Aptos" w:hAnsi="Aptos"/>
              <w:b/>
              <w:sz w:val="18"/>
              <w:szCs w:val="18"/>
            </w:rPr>
            <w:t xml:space="preserve"> / </w:t>
          </w:r>
          <w:r w:rsidR="00590B56">
            <w:rPr>
              <w:rFonts w:ascii="Aptos" w:hAnsi="Aptos"/>
              <w:b/>
              <w:noProof/>
              <w:sz w:val="18"/>
              <w:szCs w:val="18"/>
            </w:rPr>
            <w:t xml:space="preserve">25.09.2026.</w:t>
          </w:r>
        </w:p>
      </w:tc>
    </w:tr>
  </w:tbl>
  <w:p w14:paraId="36F4B044" w14:textId="77777777" w:rsidR="00E637EC" w:rsidRDefault="00E637EC" w:rsidP="00E637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01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8222"/>
      <w:gridCol w:w="2977"/>
    </w:tblGrid>
    <w:tr w:rsidR="00495CA4" w:rsidRPr="00032956" w14:paraId="1F132393" w14:textId="77777777" w:rsidTr="00495CA4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51684BF2" w14:textId="77777777" w:rsidR="00495CA4" w:rsidRPr="00567495" w:rsidRDefault="00495CA4" w:rsidP="00E637EC">
          <w:pPr>
            <w:spacing w:after="0" w:line="240" w:lineRule="auto"/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0EC5E215" wp14:editId="587EEF6F">
                <wp:extent cx="1863233" cy="471354"/>
                <wp:effectExtent l="0" t="0" r="3810" b="0"/>
                <wp:docPr id="2025413511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29365CD4" w14:textId="35E4098A" w:rsidR="00495CA4" w:rsidRPr="00032956" w:rsidRDefault="00495CA4" w:rsidP="00E637EC">
          <w:pPr>
            <w:spacing w:after="0" w:line="240" w:lineRule="auto"/>
            <w:jc w:val="center"/>
            <w:rPr>
              <w:rFonts w:ascii="Aptos" w:hAnsi="Aptos"/>
              <w:b/>
              <w:iCs/>
              <w:sz w:val="32"/>
            </w:rPr>
          </w:pPr>
          <w:r>
            <w:rPr>
              <w:rFonts w:ascii="Aptos" w:hAnsi="Aptos"/>
              <w:b/>
              <w:iCs/>
              <w:szCs w:val="20"/>
            </w:rPr>
            <w:fldChar w:fldCharType="begin"/>
          </w:r>
          <w:r>
            <w:rPr>
              <w:rFonts w:ascii="Aptos" w:hAnsi="Aptos"/>
              <w:b/>
              <w:iCs/>
              <w:szCs w:val="20"/>
            </w:rPr>
            <w:instrText xml:space="preserve"> TITLE  \* MERGEFORMAT </w:instrText>
          </w:r>
          <w:r>
            <w:rPr>
              <w:rFonts w:ascii="Aptos" w:hAnsi="Aptos"/>
              <w:b/>
              <w:iCs/>
              <w:szCs w:val="20"/>
            </w:rPr>
            <w:fldChar w:fldCharType="separate"/>
          </w:r>
          <w:r w:rsidR="00B23FAA">
            <w:rPr>
              <w:rFonts w:ascii="Aptos" w:hAnsi="Aptos"/>
              <w:b/>
              <w:iCs/>
              <w:szCs w:val="20"/>
            </w:rPr>
            <w:t>Matrica aspekata i rizika okoliša</w:t>
          </w:r>
          <w:r>
            <w:rPr>
              <w:rFonts w:ascii="Aptos" w:hAnsi="Aptos"/>
              <w:b/>
              <w:iCs/>
              <w:szCs w:val="20"/>
            </w:rPr>
            <w:fldChar w:fldCharType="end"/>
          </w:r>
        </w:p>
      </w:tc>
      <w:tc>
        <w:tcPr>
          <w:tcW w:w="2977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259409A8" w14:textId="5E9C294B" w:rsidR="00495CA4" w:rsidRPr="008E7651" w:rsidRDefault="00495CA4" w:rsidP="00A4137A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 xml:space="preserve">Oznaka dokumenta: </w: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begin"/>
          </w:r>
          <w:r>
            <w:rPr>
              <w:rFonts w:ascii="Aptos" w:hAnsi="Aptos"/>
              <w:b/>
              <w:bCs/>
              <w:sz w:val="18"/>
              <w:szCs w:val="18"/>
            </w:rPr>
            <w:instrText xml:space="preserve"> KEYWORDS  \* MERGEFORMAT </w:instrTex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separate"/>
          </w:r>
          <w:r w:rsidR="00B23FAA">
            <w:rPr>
              <w:rFonts w:ascii="Aptos" w:hAnsi="Aptos"/>
              <w:b/>
              <w:bCs/>
              <w:sz w:val="18"/>
              <w:szCs w:val="18"/>
            </w:rPr>
            <w:t>AO-IMS-01</w: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end"/>
          </w:r>
        </w:p>
        <w:p w14:paraId="3B43474D" w14:textId="77777777" w:rsidR="00495CA4" w:rsidRPr="008E7651" w:rsidRDefault="00495CA4" w:rsidP="00A4137A">
          <w:pPr>
            <w:spacing w:after="0" w:line="240" w:lineRule="auto"/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</w:t>
          </w:r>
          <w:r w:rsidRPr="008E7651">
            <w:rPr>
              <w:rFonts w:ascii="Aptos" w:hAnsi="Aptos"/>
              <w:snapToGrid w:val="0"/>
              <w:sz w:val="18"/>
              <w:szCs w:val="18"/>
            </w:rPr>
            <w:t xml:space="preserve">   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PAGE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1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/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NUMPAGES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2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</w:p>
      </w:tc>
    </w:tr>
    <w:tr w:rsidR="00495CA4" w:rsidRPr="00032956" w14:paraId="6DF3D799" w14:textId="77777777" w:rsidTr="00495CA4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3C4886A2" w14:textId="77777777" w:rsidR="00495CA4" w:rsidRDefault="00495CA4" w:rsidP="00E637EC">
          <w:pPr>
            <w:spacing w:after="0" w:line="240" w:lineRule="auto"/>
            <w:jc w:val="center"/>
          </w:pPr>
        </w:p>
      </w:tc>
      <w:tc>
        <w:tcPr>
          <w:tcW w:w="8222" w:type="dxa"/>
          <w:vMerge/>
          <w:tcBorders>
            <w:top w:val="nil"/>
            <w:bottom w:val="single" w:sz="12" w:space="0" w:color="auto"/>
          </w:tcBorders>
          <w:vAlign w:val="center"/>
        </w:tcPr>
        <w:p w14:paraId="4561D296" w14:textId="77777777" w:rsidR="00495CA4" w:rsidRPr="00032956" w:rsidRDefault="00495CA4" w:rsidP="00E637EC">
          <w:pPr>
            <w:spacing w:after="0" w:line="240" w:lineRule="auto"/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2977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4D8A73F" w14:textId="77777777" w:rsidR="00495CA4" w:rsidRPr="008E7651" w:rsidRDefault="00495CA4" w:rsidP="00A4137A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1695052A" w14:textId="41F9B170" w:rsidR="00495CA4" w:rsidRPr="009244D4" w:rsidRDefault="00495CA4" w:rsidP="009244D4">
          <w:pPr>
            <w:spacing w:after="60" w:line="240" w:lineRule="auto"/>
            <w:jc w:val="center"/>
            <w:rPr>
              <w:rFonts w:ascii="Aptos" w:eastAsia="Times New Roman" w:hAnsi="Aptos" w:cs="Times New Roman"/>
              <w:kern w:val="0"/>
              <w14:ligatures w14:val="none"/>
            </w:rPr>
          </w:pP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fldChar w:fldCharType="begin"/>
          </w: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instrText xml:space="preserve"> DOCPROPERTY Reference \* MERGEFORMAT </w:instrText>
          </w: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fldChar w:fldCharType="separate"/>
          </w: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t xml:space="preserve">v1.1</w:t>
          </w: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fldChar w:fldCharType="end"/>
          </w:r>
          <w:r>
            <w:rPr>
              <w:rFonts w:ascii="Aptos" w:hAnsi="Aptos"/>
              <w:b/>
              <w:sz w:val="18"/>
              <w:szCs w:val="18"/>
            </w:rPr>
            <w:t xml:space="preserve"> / </w:t>
          </w:r>
          <w:r w:rsidR="00590B56">
            <w:rPr>
              <w:rFonts w:ascii="Aptos" w:hAnsi="Aptos"/>
              <w:b/>
              <w:noProof/>
              <w:sz w:val="18"/>
              <w:szCs w:val="18"/>
            </w:rPr>
            <w:t xml:space="preserve">25.09.2026.</w:t>
          </w:r>
        </w:p>
      </w:tc>
    </w:tr>
  </w:tbl>
  <w:p w14:paraId="3EA30364" w14:textId="77777777" w:rsidR="00495CA4" w:rsidRDefault="00495CA4" w:rsidP="00E637E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402"/>
      <w:gridCol w:w="2835"/>
    </w:tblGrid>
    <w:tr w:rsidR="00495CA4" w:rsidRPr="00032956" w14:paraId="189E2507" w14:textId="77777777" w:rsidTr="00495CA4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03C81C08" w14:textId="77777777" w:rsidR="00495CA4" w:rsidRPr="00567495" w:rsidRDefault="00495CA4" w:rsidP="00E637EC">
          <w:pPr>
            <w:spacing w:after="0" w:line="240" w:lineRule="auto"/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3A844881" wp14:editId="7FDE4983">
                <wp:extent cx="1863233" cy="471354"/>
                <wp:effectExtent l="0" t="0" r="3810" b="0"/>
                <wp:docPr id="1320689652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2EE7FFBA" w14:textId="03F70158" w:rsidR="00495CA4" w:rsidRPr="00032956" w:rsidRDefault="00495CA4" w:rsidP="00E637EC">
          <w:pPr>
            <w:spacing w:after="0" w:line="240" w:lineRule="auto"/>
            <w:jc w:val="center"/>
            <w:rPr>
              <w:rFonts w:ascii="Aptos" w:hAnsi="Aptos"/>
              <w:b/>
              <w:iCs/>
              <w:sz w:val="32"/>
            </w:rPr>
          </w:pPr>
          <w:r>
            <w:rPr>
              <w:rFonts w:ascii="Aptos" w:hAnsi="Aptos"/>
              <w:b/>
              <w:iCs/>
              <w:szCs w:val="20"/>
            </w:rPr>
            <w:fldChar w:fldCharType="begin"/>
          </w:r>
          <w:r>
            <w:rPr>
              <w:rFonts w:ascii="Aptos" w:hAnsi="Aptos"/>
              <w:b/>
              <w:iCs/>
              <w:szCs w:val="20"/>
            </w:rPr>
            <w:instrText xml:space="preserve"> TITLE  \* MERGEFORMAT </w:instrText>
          </w:r>
          <w:r>
            <w:rPr>
              <w:rFonts w:ascii="Aptos" w:hAnsi="Aptos"/>
              <w:b/>
              <w:iCs/>
              <w:szCs w:val="20"/>
            </w:rPr>
            <w:fldChar w:fldCharType="separate"/>
          </w:r>
          <w:r w:rsidR="00B23FAA">
            <w:rPr>
              <w:rFonts w:ascii="Aptos" w:hAnsi="Aptos"/>
              <w:b/>
              <w:iCs/>
              <w:szCs w:val="20"/>
            </w:rPr>
            <w:t xml:space="preserve"/>
          </w:r>
          <w:r w:rsidR="00B23FAA">
            <w:rPr>
              <w:rFonts w:ascii="Aptos" w:hAnsi="Aptos"/>
              <w:b/>
              <w:iCs/>
              <w:szCs w:val="20"/>
            </w:rPr>
            <w:t>Matrica aspekata i rizika okoliša</w:t>
          </w:r>
          <w:r>
            <w:rPr>
              <w:rFonts w:ascii="Aptos" w:hAnsi="Aptos"/>
              <w:b/>
              <w:iCs/>
              <w:szCs w:val="20"/>
            </w:rPr>
            <w:fldChar w:fldCharType="end"/>
          </w:r>
        </w:p>
      </w:tc>
      <w:tc>
        <w:tcPr>
          <w:tcW w:w="2835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154A4B7A" w14:textId="00F5BD56" w:rsidR="00495CA4" w:rsidRPr="008E7651" w:rsidRDefault="00495CA4" w:rsidP="00A4137A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 xml:space="preserve">Oznaka dokumenta: </w: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begin"/>
          </w:r>
          <w:r>
            <w:rPr>
              <w:rFonts w:ascii="Aptos" w:hAnsi="Aptos"/>
              <w:b/>
              <w:bCs/>
              <w:sz w:val="18"/>
              <w:szCs w:val="18"/>
            </w:rPr>
            <w:instrText xml:space="preserve"> KEYWORDS  \* MERGEFORMAT </w:instrTex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separate"/>
          </w:r>
          <w:r w:rsidR="00B23FAA">
            <w:rPr>
              <w:rFonts w:ascii="Aptos" w:hAnsi="Aptos"/>
              <w:b/>
              <w:bCs/>
              <w:sz w:val="18"/>
              <w:szCs w:val="18"/>
            </w:rPr>
            <w:t>AO-IMS-01</w: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end"/>
          </w:r>
        </w:p>
        <w:p w14:paraId="5E3E570B" w14:textId="77777777" w:rsidR="00495CA4" w:rsidRPr="008E7651" w:rsidRDefault="00495CA4" w:rsidP="00A4137A">
          <w:pPr>
            <w:spacing w:after="0" w:line="240" w:lineRule="auto"/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</w:t>
          </w:r>
          <w:r w:rsidRPr="008E7651">
            <w:rPr>
              <w:rFonts w:ascii="Aptos" w:hAnsi="Aptos"/>
              <w:snapToGrid w:val="0"/>
              <w:sz w:val="18"/>
              <w:szCs w:val="18"/>
            </w:rPr>
            <w:t xml:space="preserve">   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PAGE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1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/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NUMPAGES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2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</w:p>
      </w:tc>
    </w:tr>
    <w:tr w:rsidR="00495CA4" w:rsidRPr="00032956" w14:paraId="4D378066" w14:textId="77777777" w:rsidTr="00495CA4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05FF43D4" w14:textId="77777777" w:rsidR="00495CA4" w:rsidRDefault="00495CA4" w:rsidP="00E637EC">
          <w:pPr>
            <w:spacing w:after="0" w:line="240" w:lineRule="auto"/>
            <w:jc w:val="center"/>
          </w:pPr>
        </w:p>
      </w:tc>
      <w:tc>
        <w:tcPr>
          <w:tcW w:w="3402" w:type="dxa"/>
          <w:vMerge/>
          <w:tcBorders>
            <w:top w:val="nil"/>
            <w:bottom w:val="single" w:sz="12" w:space="0" w:color="auto"/>
          </w:tcBorders>
          <w:vAlign w:val="center"/>
        </w:tcPr>
        <w:p w14:paraId="2CD9DE07" w14:textId="77777777" w:rsidR="00495CA4" w:rsidRPr="00032956" w:rsidRDefault="00495CA4" w:rsidP="00E637EC">
          <w:pPr>
            <w:spacing w:after="0" w:line="240" w:lineRule="auto"/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2835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D278D5B" w14:textId="77777777" w:rsidR="00495CA4" w:rsidRPr="008E7651" w:rsidRDefault="00495CA4" w:rsidP="00A4137A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3166BB98" w14:textId="1AF1C4D1" w:rsidR="00495CA4" w:rsidRPr="009244D4" w:rsidRDefault="00495CA4" w:rsidP="009244D4">
          <w:pPr>
            <w:spacing w:after="60" w:line="240" w:lineRule="auto"/>
            <w:jc w:val="center"/>
            <w:rPr>
              <w:rFonts w:ascii="Aptos" w:eastAsia="Times New Roman" w:hAnsi="Aptos" w:cs="Times New Roman"/>
              <w:kern w:val="0"/>
              <w14:ligatures w14:val="none"/>
            </w:rPr>
          </w:pP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fldChar w:fldCharType="begin"/>
          </w: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instrText xml:space="preserve"> DOCPROPERTY Reference \* MERGEFORMAT </w:instrText>
          </w: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fldChar w:fldCharType="separate"/>
          </w: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t xml:space="preserve">v1.1</w:t>
          </w: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fldChar w:fldCharType="end"/>
          </w:r>
          <w:r>
            <w:rPr>
              <w:rFonts w:ascii="Aptos" w:hAnsi="Aptos"/>
              <w:b/>
              <w:sz w:val="18"/>
              <w:szCs w:val="18"/>
            </w:rPr>
            <w:t xml:space="preserve"> / </w:t>
          </w:r>
          <w:r w:rsidR="00590B56">
            <w:rPr>
              <w:rFonts w:ascii="Aptos" w:hAnsi="Aptos"/>
              <w:b/>
              <w:noProof/>
              <w:sz w:val="18"/>
              <w:szCs w:val="18"/>
            </w:rPr>
            <w:t xml:space="preserve">25.09.2026.</w:t>
          </w:r>
        </w:p>
      </w:tc>
    </w:tr>
  </w:tbl>
  <w:p w14:paraId="65459C26" w14:textId="77777777" w:rsidR="00495CA4" w:rsidRDefault="00495CA4" w:rsidP="00E637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6A0B"/>
    <w:multiLevelType w:val="hybridMultilevel"/>
    <w:tmpl w:val="DF9C03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27CE8"/>
    <w:multiLevelType w:val="hybridMultilevel"/>
    <w:tmpl w:val="320EC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C718D"/>
    <w:multiLevelType w:val="hybridMultilevel"/>
    <w:tmpl w:val="F3A815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36CA6"/>
    <w:multiLevelType w:val="hybridMultilevel"/>
    <w:tmpl w:val="E7309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F7061"/>
    <w:multiLevelType w:val="hybridMultilevel"/>
    <w:tmpl w:val="208E7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4765E3"/>
    <w:multiLevelType w:val="multilevel"/>
    <w:tmpl w:val="0BB6C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7D4D95"/>
    <w:multiLevelType w:val="hybridMultilevel"/>
    <w:tmpl w:val="0BAE7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CF10DF"/>
    <w:multiLevelType w:val="hybridMultilevel"/>
    <w:tmpl w:val="C0203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0350CE"/>
    <w:multiLevelType w:val="hybridMultilevel"/>
    <w:tmpl w:val="56241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7C2BA4"/>
    <w:multiLevelType w:val="hybridMultilevel"/>
    <w:tmpl w:val="EDBAA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EE02E9"/>
    <w:multiLevelType w:val="hybridMultilevel"/>
    <w:tmpl w:val="C4403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2F2032"/>
    <w:multiLevelType w:val="hybridMultilevel"/>
    <w:tmpl w:val="99CA4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C21ADC"/>
    <w:multiLevelType w:val="hybridMultilevel"/>
    <w:tmpl w:val="0122D410"/>
    <w:lvl w:ilvl="0" w:tplc="F5E8506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i w:val="0"/>
        <w:sz w:val="20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702E56"/>
    <w:multiLevelType w:val="hybridMultilevel"/>
    <w:tmpl w:val="8A86B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417204"/>
    <w:multiLevelType w:val="hybridMultilevel"/>
    <w:tmpl w:val="8E12C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9A6A02"/>
    <w:multiLevelType w:val="hybridMultilevel"/>
    <w:tmpl w:val="1B90C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475A88"/>
    <w:multiLevelType w:val="hybridMultilevel"/>
    <w:tmpl w:val="A980017C"/>
    <w:lvl w:ilvl="0" w:tplc="F5E8506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7674C9"/>
    <w:multiLevelType w:val="hybridMultilevel"/>
    <w:tmpl w:val="2266F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5A6391"/>
    <w:multiLevelType w:val="hybridMultilevel"/>
    <w:tmpl w:val="158E6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ED3F55"/>
    <w:multiLevelType w:val="hybridMultilevel"/>
    <w:tmpl w:val="C902D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5629AE"/>
    <w:multiLevelType w:val="hybridMultilevel"/>
    <w:tmpl w:val="8856C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39239F"/>
    <w:multiLevelType w:val="hybridMultilevel"/>
    <w:tmpl w:val="A3269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2E17A6"/>
    <w:multiLevelType w:val="hybridMultilevel"/>
    <w:tmpl w:val="C736D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FD2E72"/>
    <w:multiLevelType w:val="hybridMultilevel"/>
    <w:tmpl w:val="F0825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971171"/>
    <w:multiLevelType w:val="hybridMultilevel"/>
    <w:tmpl w:val="BC84A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396751"/>
    <w:multiLevelType w:val="hybridMultilevel"/>
    <w:tmpl w:val="A128F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FD6A3D"/>
    <w:multiLevelType w:val="hybridMultilevel"/>
    <w:tmpl w:val="FD46F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D061CA"/>
    <w:multiLevelType w:val="multilevel"/>
    <w:tmpl w:val="A99A0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CAD6F3D"/>
    <w:multiLevelType w:val="multilevel"/>
    <w:tmpl w:val="B37C1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DDB3834"/>
    <w:multiLevelType w:val="hybridMultilevel"/>
    <w:tmpl w:val="A6BE6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C10060"/>
    <w:multiLevelType w:val="hybridMultilevel"/>
    <w:tmpl w:val="3C028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C52E52"/>
    <w:multiLevelType w:val="hybridMultilevel"/>
    <w:tmpl w:val="71229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3" w15:restartNumberingAfterBreak="0">
    <w:nsid w:val="4B0F4DD4"/>
    <w:multiLevelType w:val="hybridMultilevel"/>
    <w:tmpl w:val="E88CC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9A014C"/>
    <w:multiLevelType w:val="hybridMultilevel"/>
    <w:tmpl w:val="BAAA8CC8"/>
    <w:lvl w:ilvl="0" w:tplc="F5E8506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8206BC"/>
    <w:multiLevelType w:val="hybridMultilevel"/>
    <w:tmpl w:val="1D62B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096071"/>
    <w:multiLevelType w:val="multilevel"/>
    <w:tmpl w:val="560EE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2346900"/>
    <w:multiLevelType w:val="hybridMultilevel"/>
    <w:tmpl w:val="0B528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123198"/>
    <w:multiLevelType w:val="hybridMultilevel"/>
    <w:tmpl w:val="A9EC3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3F35101"/>
    <w:multiLevelType w:val="hybridMultilevel"/>
    <w:tmpl w:val="A69C5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22683E"/>
    <w:multiLevelType w:val="hybridMultilevel"/>
    <w:tmpl w:val="C70A7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836338"/>
    <w:multiLevelType w:val="hybridMultilevel"/>
    <w:tmpl w:val="32485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5E2A80"/>
    <w:multiLevelType w:val="multilevel"/>
    <w:tmpl w:val="44B64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94C54E5"/>
    <w:multiLevelType w:val="hybridMultilevel"/>
    <w:tmpl w:val="59685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D1103A2"/>
    <w:multiLevelType w:val="hybridMultilevel"/>
    <w:tmpl w:val="393C3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EAC10D5"/>
    <w:multiLevelType w:val="hybridMultilevel"/>
    <w:tmpl w:val="D4649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C24FF4"/>
    <w:multiLevelType w:val="hybridMultilevel"/>
    <w:tmpl w:val="F228B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34A2A32"/>
    <w:multiLevelType w:val="hybridMultilevel"/>
    <w:tmpl w:val="EC82F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43E43AC"/>
    <w:multiLevelType w:val="hybridMultilevel"/>
    <w:tmpl w:val="C122E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BA841DF"/>
    <w:multiLevelType w:val="multilevel"/>
    <w:tmpl w:val="A38CB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2053051">
    <w:abstractNumId w:val="28"/>
  </w:num>
  <w:num w:numId="2" w16cid:durableId="1564636323">
    <w:abstractNumId w:val="27"/>
  </w:num>
  <w:num w:numId="3" w16cid:durableId="2103410652">
    <w:abstractNumId w:val="42"/>
  </w:num>
  <w:num w:numId="4" w16cid:durableId="765880919">
    <w:abstractNumId w:val="49"/>
  </w:num>
  <w:num w:numId="5" w16cid:durableId="1769959758">
    <w:abstractNumId w:val="36"/>
  </w:num>
  <w:num w:numId="6" w16cid:durableId="1937514702">
    <w:abstractNumId w:val="32"/>
  </w:num>
  <w:num w:numId="7" w16cid:durableId="2128356567">
    <w:abstractNumId w:val="14"/>
  </w:num>
  <w:num w:numId="8" w16cid:durableId="330526968">
    <w:abstractNumId w:val="15"/>
  </w:num>
  <w:num w:numId="9" w16cid:durableId="1830900075">
    <w:abstractNumId w:val="24"/>
  </w:num>
  <w:num w:numId="10" w16cid:durableId="588270201">
    <w:abstractNumId w:val="33"/>
  </w:num>
  <w:num w:numId="11" w16cid:durableId="684944887">
    <w:abstractNumId w:val="48"/>
  </w:num>
  <w:num w:numId="12" w16cid:durableId="156532565">
    <w:abstractNumId w:val="18"/>
  </w:num>
  <w:num w:numId="13" w16cid:durableId="1050612540">
    <w:abstractNumId w:val="16"/>
  </w:num>
  <w:num w:numId="14" w16cid:durableId="502623025">
    <w:abstractNumId w:val="11"/>
  </w:num>
  <w:num w:numId="15" w16cid:durableId="1104035695">
    <w:abstractNumId w:val="23"/>
  </w:num>
  <w:num w:numId="16" w16cid:durableId="1669988794">
    <w:abstractNumId w:val="40"/>
  </w:num>
  <w:num w:numId="17" w16cid:durableId="1646154306">
    <w:abstractNumId w:val="1"/>
  </w:num>
  <w:num w:numId="18" w16cid:durableId="1638878617">
    <w:abstractNumId w:val="20"/>
  </w:num>
  <w:num w:numId="19" w16cid:durableId="1140617062">
    <w:abstractNumId w:val="44"/>
  </w:num>
  <w:num w:numId="20" w16cid:durableId="1447508264">
    <w:abstractNumId w:val="2"/>
  </w:num>
  <w:num w:numId="21" w16cid:durableId="1262837997">
    <w:abstractNumId w:val="22"/>
  </w:num>
  <w:num w:numId="22" w16cid:durableId="1692603649">
    <w:abstractNumId w:val="10"/>
  </w:num>
  <w:num w:numId="23" w16cid:durableId="318391093">
    <w:abstractNumId w:val="13"/>
  </w:num>
  <w:num w:numId="24" w16cid:durableId="705065009">
    <w:abstractNumId w:val="41"/>
  </w:num>
  <w:num w:numId="25" w16cid:durableId="529994007">
    <w:abstractNumId w:val="31"/>
  </w:num>
  <w:num w:numId="26" w16cid:durableId="1774016048">
    <w:abstractNumId w:val="25"/>
  </w:num>
  <w:num w:numId="27" w16cid:durableId="1562788923">
    <w:abstractNumId w:val="38"/>
  </w:num>
  <w:num w:numId="28" w16cid:durableId="1178881792">
    <w:abstractNumId w:val="8"/>
  </w:num>
  <w:num w:numId="29" w16cid:durableId="1015040083">
    <w:abstractNumId w:val="35"/>
  </w:num>
  <w:num w:numId="30" w16cid:durableId="7100698">
    <w:abstractNumId w:val="46"/>
  </w:num>
  <w:num w:numId="31" w16cid:durableId="1538081797">
    <w:abstractNumId w:val="29"/>
  </w:num>
  <w:num w:numId="32" w16cid:durableId="1713459183">
    <w:abstractNumId w:val="34"/>
  </w:num>
  <w:num w:numId="33" w16cid:durableId="139621749">
    <w:abstractNumId w:val="39"/>
  </w:num>
  <w:num w:numId="34" w16cid:durableId="1058893574">
    <w:abstractNumId w:val="0"/>
  </w:num>
  <w:num w:numId="35" w16cid:durableId="1791120457">
    <w:abstractNumId w:val="30"/>
  </w:num>
  <w:num w:numId="36" w16cid:durableId="1151360473">
    <w:abstractNumId w:val="4"/>
  </w:num>
  <w:num w:numId="37" w16cid:durableId="1814717317">
    <w:abstractNumId w:val="21"/>
  </w:num>
  <w:num w:numId="38" w16cid:durableId="1499884214">
    <w:abstractNumId w:val="6"/>
  </w:num>
  <w:num w:numId="39" w16cid:durableId="1074278558">
    <w:abstractNumId w:val="43"/>
  </w:num>
  <w:num w:numId="40" w16cid:durableId="1450659287">
    <w:abstractNumId w:val="45"/>
  </w:num>
  <w:num w:numId="41" w16cid:durableId="1288926913">
    <w:abstractNumId w:val="9"/>
  </w:num>
  <w:num w:numId="42" w16cid:durableId="271405404">
    <w:abstractNumId w:val="47"/>
  </w:num>
  <w:num w:numId="43" w16cid:durableId="2134714677">
    <w:abstractNumId w:val="3"/>
  </w:num>
  <w:num w:numId="44" w16cid:durableId="1491360615">
    <w:abstractNumId w:val="37"/>
  </w:num>
  <w:num w:numId="45" w16cid:durableId="2101833185">
    <w:abstractNumId w:val="17"/>
  </w:num>
  <w:num w:numId="46" w16cid:durableId="1097746820">
    <w:abstractNumId w:val="12"/>
  </w:num>
  <w:num w:numId="47" w16cid:durableId="1899851794">
    <w:abstractNumId w:val="26"/>
  </w:num>
  <w:num w:numId="48" w16cid:durableId="1645114178">
    <w:abstractNumId w:val="7"/>
  </w:num>
  <w:num w:numId="49" w16cid:durableId="2075464959">
    <w:abstractNumId w:val="5"/>
  </w:num>
  <w:num w:numId="50" w16cid:durableId="1674449661">
    <w:abstractNumId w:val="19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13D57"/>
    <w:rsid w:val="00087A0B"/>
    <w:rsid w:val="000D212D"/>
    <w:rsid w:val="00121635"/>
    <w:rsid w:val="00137813"/>
    <w:rsid w:val="001C7360"/>
    <w:rsid w:val="001E0A27"/>
    <w:rsid w:val="001E53E3"/>
    <w:rsid w:val="002228D9"/>
    <w:rsid w:val="00235234"/>
    <w:rsid w:val="002F141A"/>
    <w:rsid w:val="003208C3"/>
    <w:rsid w:val="0032478E"/>
    <w:rsid w:val="0036441E"/>
    <w:rsid w:val="00403916"/>
    <w:rsid w:val="004207BE"/>
    <w:rsid w:val="00421A76"/>
    <w:rsid w:val="00447582"/>
    <w:rsid w:val="00495CA4"/>
    <w:rsid w:val="00562887"/>
    <w:rsid w:val="00590B56"/>
    <w:rsid w:val="005C2F1D"/>
    <w:rsid w:val="005C7262"/>
    <w:rsid w:val="005E6AEA"/>
    <w:rsid w:val="00720A4F"/>
    <w:rsid w:val="0072201A"/>
    <w:rsid w:val="00765643"/>
    <w:rsid w:val="007F4535"/>
    <w:rsid w:val="00877555"/>
    <w:rsid w:val="008E7651"/>
    <w:rsid w:val="009244D4"/>
    <w:rsid w:val="00945768"/>
    <w:rsid w:val="009804CE"/>
    <w:rsid w:val="009A350A"/>
    <w:rsid w:val="009B43E8"/>
    <w:rsid w:val="009F11B7"/>
    <w:rsid w:val="00A40914"/>
    <w:rsid w:val="00A4137A"/>
    <w:rsid w:val="00A7658C"/>
    <w:rsid w:val="00AC596E"/>
    <w:rsid w:val="00AD2150"/>
    <w:rsid w:val="00AF7E18"/>
    <w:rsid w:val="00B14491"/>
    <w:rsid w:val="00B23FAA"/>
    <w:rsid w:val="00B26B76"/>
    <w:rsid w:val="00B67E40"/>
    <w:rsid w:val="00BB418E"/>
    <w:rsid w:val="00C155B7"/>
    <w:rsid w:val="00C26EA9"/>
    <w:rsid w:val="00C8213D"/>
    <w:rsid w:val="00CE48ED"/>
    <w:rsid w:val="00D06C4E"/>
    <w:rsid w:val="00DA3F52"/>
    <w:rsid w:val="00DC27D8"/>
    <w:rsid w:val="00E01A7B"/>
    <w:rsid w:val="00E25EB9"/>
    <w:rsid w:val="00E3683E"/>
    <w:rsid w:val="00E637EC"/>
    <w:rsid w:val="00E83C0B"/>
    <w:rsid w:val="00EA604F"/>
    <w:rsid w:val="00EB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637EC"/>
    <w:pPr>
      <w:keepNext/>
      <w:keepLines/>
      <w:numPr>
        <w:numId w:val="6"/>
      </w:numPr>
      <w:pBdr>
        <w:bottom w:val="single" w:sz="4" w:space="1" w:color="CE181E"/>
      </w:pBdr>
      <w:spacing w:before="120" w:after="120" w:line="276" w:lineRule="auto"/>
      <w:outlineLvl w:val="0"/>
    </w:pPr>
    <w:rPr>
      <w:rFonts w:eastAsia="Times New Roman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37EC"/>
    <w:pPr>
      <w:keepNext/>
      <w:keepLines/>
      <w:numPr>
        <w:ilvl w:val="1"/>
        <w:numId w:val="6"/>
      </w:numPr>
      <w:spacing w:before="120" w:after="120"/>
      <w:outlineLvl w:val="1"/>
    </w:pPr>
    <w:rPr>
      <w:rFonts w:ascii="Aptos" w:eastAsiaTheme="majorEastAsia" w:hAnsi="Aptos" w:cstheme="majorBidi"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7658C"/>
    <w:pPr>
      <w:keepNext/>
      <w:keepLines/>
      <w:numPr>
        <w:ilvl w:val="2"/>
        <w:numId w:val="6"/>
      </w:numPr>
      <w:pBdr>
        <w:bottom w:val="wave" w:sz="6" w:space="1" w:color="0E2841" w:themeColor="text2"/>
      </w:pBdr>
      <w:spacing w:before="60" w:after="0" w:line="240" w:lineRule="auto"/>
      <w:outlineLvl w:val="2"/>
    </w:pPr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6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6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6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6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6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6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658C"/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character" w:customStyle="1" w:styleId="Heading1Char">
    <w:name w:val="Heading 1 Char"/>
    <w:link w:val="Heading1"/>
    <w:uiPriority w:val="9"/>
    <w:rsid w:val="00E637EC"/>
    <w:rPr>
      <w:rFonts w:eastAsia="Times New Roman"/>
      <w:b/>
      <w:smallCaps/>
      <w:color w:val="CE181E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637EC"/>
    <w:rPr>
      <w:rFonts w:ascii="Aptos" w:eastAsiaTheme="majorEastAsia" w:hAnsi="Aptos" w:cstheme="majorBidi"/>
      <w:color w:val="CE181E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E5DB94-1BB9-3648-A66D-3F65DE022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441</Words>
  <Characters>2705</Characters>
  <Application>Microsoft Office Word</Application>
  <DocSecurity>0</DocSecurity>
  <Lines>104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Matrica aspekata i rizika okoliša</vt:lpstr>
    </vt:vector>
  </TitlesOfParts>
  <Manager/>
  <Company>TEHMA d.o.o.</Company>
  <LinksUpToDate>false</LinksUpToDate>
  <CharactersWithSpaces>3070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Matrica aspekata i rizika okoliša</dc:title>
  <dc:subject>Jedinstvena mjerodavna matrica okolišnih aspekata i utjecaja (ISO 14001, t. 6.1.2)</dc:subject>
  <dc:creator>Daniel Bara</dc:creator>
  <cp:keywords>AO-IMS-01</cp:keywords>
  <dc:description>Izdanje v1.1 od 25.09.2026.</dc:description>
  <cp:lastModifiedBy>Daniel Bara</cp:lastModifiedBy>
  <cp:revision>15</cp:revision>
  <dcterms:created xsi:type="dcterms:W3CDTF">2025-11-09T19:24:00Z</dcterms:created>
  <dcterms:modified xsi:type="dcterms:W3CDTF">2026-09-25T10:00:00Z</dcterms:modified>
  <cp:category>IMS</cp:category>
  <cp:version>v1.1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ence">
    <vt:lpwstr>v1.1</vt:lpwstr>
  </property>
  <property fmtid="{D5CDD505-2E9C-101B-9397-08002B2CF9AE}" pid="3" name="Company">
    <vt:lpwstr>TEHMA d.o.o.</vt:lpwstr>
  </property>
</Properties>
</file>